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60"/>
      </w:pPr>
      <w:r>
        <w:rPr>
          <w:b/>
          <w:color w:val="2E7D7A"/>
          <w:sz w:val="20"/>
        </w:rPr>
        <w:t>ENGINEERED LAUNCH</w:t>
      </w:r>
    </w:p>
    <w:p>
      <w:pPr>
        <w:pStyle w:val="Title"/>
      </w:pPr>
      <w:r>
        <w:t>DRE Product &amp; Deployment Guide</w:t>
      </w:r>
    </w:p>
    <w:p>
      <w:r>
        <w:rPr>
          <w:color w:val="1F5F8B"/>
          <w:sz w:val="30"/>
        </w:rPr>
        <w:t>Technical and Enterprise Evaluation Overview</w:t>
      </w:r>
    </w:p>
    <w:tbl>
      <w:tblPr>
        <w:tblW w:type="auto" w:w="0"/>
        <w:jc w:val="left"/>
        <w:tblLayout w:type="fixed"/>
        <w:tblLook w:firstColumn="1" w:firstRow="1" w:lastColumn="0" w:lastRow="0" w:noHBand="0" w:noVBand="1" w:val="04A0"/>
      </w:tblPr>
      <w:tblGrid>
        <w:gridCol w:w="8352"/>
      </w:tblGrid>
      <w:tr>
        <w:tc>
          <w:tcPr>
            <w:tcW w:type="dxa" w:w="9878"/>
            <w:shd w:fill="16324F"/>
            <w:vAlign w:val="center"/>
            <w:tcMar>
              <w:top w:w="120" w:type="dxa"/>
              <w:start w:w="120" w:type="dxa"/>
              <w:bottom w:w="120" w:type="dxa"/>
              <w:end w:w="120" w:type="dxa"/>
            </w:tcMar>
          </w:tcPr>
          <w:p>
            <w:pPr>
              <w:spacing w:after="0"/>
              <w:jc w:val="center"/>
            </w:pPr>
            <w:r/>
            <w:r>
              <w:rPr>
                <w:rFonts w:ascii="Aptos" w:hAnsi="Aptos"/>
                <w:b/>
                <w:color w:val="FFFFFF"/>
                <w:sz w:val="19"/>
              </w:rPr>
              <w:t>TECHNICAL EVALUATORS  •  SECURITY  •  MICROSOFT  •  ENTERPRISE BUYERS</w:t>
            </w:r>
          </w:p>
        </w:tc>
      </w:tr>
    </w:tbl>
    <w:p>
      <w:pPr>
        <w:spacing w:before="3000"/>
      </w:pPr>
    </w:p>
    <w:p>
      <w:r>
        <w:rPr>
          <w:color w:val="5C6B76"/>
          <w:sz w:val="22"/>
        </w:rPr>
        <w:t>DRE / Dr. E — Deterministic Review Engine</w:t>
      </w:r>
    </w:p>
    <w:p>
      <w:r>
        <w:rPr>
          <w:color w:val="5C6B76"/>
          <w:sz w:val="18"/>
        </w:rPr>
        <w:t>Legal owner: Jamie Lynn Schallert / Engineered Launch</w:t>
      </w:r>
    </w:p>
    <w:p>
      <w:r>
        <w:br w:type="page"/>
      </w:r>
    </w:p>
    <w:p>
      <w:pPr>
        <w:pStyle w:val="Heading1"/>
      </w:pPr>
      <w:r>
        <w:t>Purpose</w:t>
      </w:r>
    </w:p>
    <w:p>
      <w:r>
        <w:t>DRE is a deterministic-first legal-billing review platform designed to evaluate outside-counsel billing while preserving evidentiary transparency and human authority. This guide summarizes the product workflow, system boundaries, Azure deployment direction, security model, validation approach, and the distinction between current foundation and intended production architecture.</w:t>
      </w:r>
    </w:p>
    <w:p>
      <w:pPr>
        <w:pStyle w:val="Heading1"/>
      </w:pPr>
      <w:r>
        <w:t>Core Workflow</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STAGE</w:t>
            </w:r>
          </w:p>
        </w:tc>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FUNCTION</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1</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Structured billing input</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2</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Deterministic compliance evaluation</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3</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Early exit or semantic exception path</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4</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Deterministic referee and finalization</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5</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Unified audit result</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6</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Human review where required</w:t>
            </w:r>
          </w:p>
        </w:tc>
      </w:tr>
    </w:tbl>
    <w:p/>
    <w:p>
      <w:pPr>
        <w:jc w:val="center"/>
      </w:pPr>
      <w:r>
        <w:rPr>
          <w:i/>
          <w:color w:val="5C6B76"/>
          <w:sz w:val="17"/>
        </w:rPr>
        <w:t>End-to-end DRE processing path</w:t>
      </w:r>
    </w:p>
    <w:p>
      <w:pPr>
        <w:pStyle w:val="Heading1"/>
      </w:pPr>
      <w:r>
        <w:t>Deterministic Engine</w:t>
      </w:r>
    </w:p>
    <w:p>
      <w:r>
        <w:t>The deterministic engine evaluates objective billing-policy requirements before any semantic processing. Current capabilities include rule evaluation, violation detection, narrative sanitation, hours and value adjustment, and routing through needs_ai_consensus. The deterministic layer exists to resolve explicit questions without unnecessary AI usage.</w:t>
      </w:r>
    </w:p>
    <w:p>
      <w:pPr>
        <w:pStyle w:val="Heading1"/>
      </w:pPr>
      <w:r>
        <w:t>Consensus Architecture</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COMPONENT</w:t>
            </w:r>
          </w:p>
        </w:tc>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FUNCTION</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Schema Validator</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Evaluates alignment with structured billable formats.</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Domain Expert</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Evaluates whether described work is substantive rather than administrative.</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Anomaly Detector</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Looks for block billing and bundled unrelated work.</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Deterministic Referee</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Counts structured votes and selects the system action.</w:t>
            </w:r>
          </w:p>
        </w:tc>
      </w:tr>
    </w:tbl>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CURRENT</w:t>
            </w:r>
          </w:p>
        </w:tc>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INTENDED</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Three agents → one parallel round → deterministic referee</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Three independent agents → multiple rounds → referee synthesis</w:t>
            </w:r>
          </w:p>
        </w:tc>
      </w:tr>
    </w:tbl>
    <w:p/>
    <w:p>
      <w:r>
        <w:t>The intended multi-round architecture remains a roadmap direction, not a claim about the current implementation.</w:t>
      </w:r>
    </w:p>
    <w:p>
      <w:pPr>
        <w:pStyle w:val="Heading1"/>
      </w:pPr>
      <w:r>
        <w:t>Human Review</w:t>
      </w:r>
    </w:p>
    <w:p>
      <w:r>
        <w:t>Human Review is a controlled destination for unresolved ambiguity, policy exceptions, missing context, disagreement, technical failure, or other conditions requiring authorized judgment. Automated findings and recommendations remain distinguishable from the authorized human disposition.</w:t>
      </w:r>
    </w:p>
    <w:p>
      <w:pPr>
        <w:pStyle w:val="Heading1"/>
      </w:pPr>
      <w:r>
        <w:t>Audit Evidence</w:t>
      </w:r>
    </w:p>
    <w:p>
      <w:pPr>
        <w:pStyle w:val="ListBullet"/>
        <w:spacing w:after="60"/>
        <w:ind w:left="360" w:hanging="230"/>
      </w:pPr>
      <w:r>
        <w:t>Original transaction and narrative</w:t>
      </w:r>
    </w:p>
    <w:p>
      <w:pPr>
        <w:pStyle w:val="ListBullet"/>
        <w:spacing w:after="60"/>
        <w:ind w:left="360" w:hanging="230"/>
      </w:pPr>
      <w:r>
        <w:t>Rules applied and violations detected</w:t>
      </w:r>
    </w:p>
    <w:p>
      <w:pPr>
        <w:pStyle w:val="ListBullet"/>
        <w:spacing w:after="60"/>
        <w:ind w:left="360" w:hanging="230"/>
      </w:pPr>
      <w:r>
        <w:t>Deterministic processing path and calculated values</w:t>
      </w:r>
    </w:p>
    <w:p>
      <w:pPr>
        <w:pStyle w:val="ListBullet"/>
        <w:spacing w:after="60"/>
        <w:ind w:left="360" w:hanging="230"/>
      </w:pPr>
      <w:r>
        <w:t>Consensus invocation and agent outputs when applicable</w:t>
      </w:r>
    </w:p>
    <w:p>
      <w:pPr>
        <w:pStyle w:val="ListBullet"/>
        <w:spacing w:after="60"/>
        <w:ind w:left="360" w:hanging="230"/>
      </w:pPr>
      <w:r>
        <w:t>Referee result and final system state</w:t>
      </w:r>
    </w:p>
    <w:p>
      <w:pPr>
        <w:pStyle w:val="ListBullet"/>
        <w:spacing w:after="60"/>
        <w:ind w:left="360" w:hanging="230"/>
      </w:pPr>
      <w:r>
        <w:t>Reason for human review</w:t>
      </w:r>
    </w:p>
    <w:p>
      <w:pPr>
        <w:pStyle w:val="ListBullet"/>
        <w:spacing w:after="60"/>
        <w:ind w:left="360" w:hanging="230"/>
      </w:pPr>
      <w:r>
        <w:t>Authorized human disposition when available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AUDIT OBJECTIVE</w:t>
              <w:br/>
            </w:r>
            <w:r>
              <w:t>Reconstruct what entered DRE, what each processing layer did, and what the authorized human ultimately decided.</w:t>
            </w:r>
          </w:p>
        </w:tc>
      </w:tr>
    </w:tbl>
    <w:p/>
    <w:p>
      <w:pPr>
        <w:pStyle w:val="Heading1"/>
      </w:pPr>
      <w:r>
        <w:t>Azure Deployment Model</w:t>
      </w:r>
    </w:p>
    <w:p>
      <w:r>
        <w:t>DRE is intended for deployment inside the customer’s own Microsoft Azure environment. The product operates as a controlled review layer within the customer’s existing Microsoft ecosystem rather than as a forced replacement for its legal technology stack.</w:t>
      </w:r>
    </w:p>
    <w:p>
      <w:pPr>
        <w:pStyle w:val="Heading1"/>
      </w:pPr>
      <w:r>
        <w:t>Current Azure Foundation</w:t>
      </w:r>
    </w:p>
    <w:p>
      <w:pPr>
        <w:pStyle w:val="ListBullet"/>
        <w:spacing w:after="60"/>
        <w:ind w:left="360" w:hanging="230"/>
      </w:pPr>
      <w:r>
        <w:t>Reusable Bicep deployment structure</w:t>
      </w:r>
    </w:p>
    <w:p>
      <w:pPr>
        <w:pStyle w:val="ListBullet"/>
        <w:spacing w:after="60"/>
        <w:ind w:left="360" w:hanging="230"/>
      </w:pPr>
      <w:r>
        <w:t>Region parameterization and consistent naming</w:t>
      </w:r>
    </w:p>
    <w:p>
      <w:pPr>
        <w:pStyle w:val="ListBullet"/>
        <w:spacing w:after="60"/>
        <w:ind w:left="360" w:hanging="230"/>
      </w:pPr>
      <w:r>
        <w:t>Azure Virtual Network</w:t>
      </w:r>
    </w:p>
    <w:p>
      <w:pPr>
        <w:pStyle w:val="ListBullet"/>
        <w:spacing w:after="60"/>
        <w:ind w:left="360" w:hanging="230"/>
      </w:pPr>
      <w:r>
        <w:t>Application subnet</w:t>
      </w:r>
    </w:p>
    <w:p>
      <w:pPr>
        <w:pStyle w:val="ListBullet"/>
        <w:spacing w:after="60"/>
        <w:ind w:left="360" w:hanging="230"/>
      </w:pPr>
      <w:r>
        <w:t>Azure Key Vault resource</w:t>
      </w:r>
    </w:p>
    <w:p>
      <w:pPr>
        <w:pStyle w:val="ListBullet"/>
        <w:spacing w:after="60"/>
        <w:ind w:left="360" w:hanging="230"/>
      </w:pPr>
      <w:r>
        <w:t>Azure Cosmos DB account</w:t>
      </w:r>
    </w:p>
    <w:p>
      <w:pPr>
        <w:pStyle w:val="ListBullet"/>
        <w:spacing w:after="60"/>
        <w:ind w:left="360" w:hanging="230"/>
      </w:pPr>
      <w:r>
        <w:t>Azure OpenAI account</w:t>
      </w:r>
    </w:p>
    <w:p>
      <w:pPr>
        <w:pStyle w:val="ListBullet"/>
        <w:spacing w:after="60"/>
        <w:ind w:left="360" w:hanging="230"/>
      </w:pPr>
      <w:r>
        <w:t>Azure OpenAI public network access disabled</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CURRENT-STATE DISCIPLINE</w:t>
              <w:br/>
            </w:r>
            <w:r>
              <w:t>The current Bicep establishes a meaningful infrastructure foundation. It does not establish a complete production deployment.</w:t>
            </w:r>
          </w:p>
        </w:tc>
      </w:tr>
    </w:tbl>
    <w:p/>
    <w:p>
      <w:pPr>
        <w:pStyle w:val="Heading1"/>
      </w:pPr>
      <w:r>
        <w:t>Intended Production Architecture</w:t>
      </w:r>
    </w:p>
    <w:p>
      <w:pPr>
        <w:pStyle w:val="ListBullet"/>
        <w:spacing w:after="60"/>
        <w:ind w:left="360" w:hanging="230"/>
      </w:pPr>
      <w:r>
        <w:t>Azure application runtime</w:t>
      </w:r>
    </w:p>
    <w:p>
      <w:pPr>
        <w:pStyle w:val="ListBullet"/>
        <w:spacing w:after="60"/>
        <w:ind w:left="360" w:hanging="230"/>
      </w:pPr>
      <w:r>
        <w:t>Structured messaging / Azure Service Bus</w:t>
      </w:r>
    </w:p>
    <w:p>
      <w:pPr>
        <w:pStyle w:val="ListBullet"/>
        <w:spacing w:after="60"/>
        <w:ind w:left="360" w:hanging="230"/>
      </w:pPr>
      <w:r>
        <w:t>Private endpoints and private DNS</w:t>
      </w:r>
    </w:p>
    <w:p>
      <w:pPr>
        <w:pStyle w:val="ListBullet"/>
        <w:spacing w:after="60"/>
        <w:ind w:left="360" w:hanging="230"/>
      </w:pPr>
      <w:r>
        <w:t>Microsoft Entra ID and managed identities</w:t>
      </w:r>
    </w:p>
    <w:p>
      <w:pPr>
        <w:pStyle w:val="ListBullet"/>
        <w:spacing w:after="60"/>
        <w:ind w:left="360" w:hanging="230"/>
      </w:pPr>
      <w:r>
        <w:t>Least-privilege RBAC</w:t>
      </w:r>
    </w:p>
    <w:p>
      <w:pPr>
        <w:pStyle w:val="ListBullet"/>
        <w:spacing w:after="60"/>
        <w:ind w:left="360" w:hanging="230"/>
      </w:pPr>
      <w:r>
        <w:t>Cosmos DB database, containers, and governed audit-data model</w:t>
      </w:r>
    </w:p>
    <w:p>
      <w:pPr>
        <w:pStyle w:val="ListBullet"/>
        <w:spacing w:after="60"/>
        <w:ind w:left="360" w:hanging="230"/>
      </w:pPr>
      <w:r>
        <w:t>Azure OpenAI model deployments and service configuration</w:t>
      </w:r>
    </w:p>
    <w:p>
      <w:pPr>
        <w:pStyle w:val="ListBullet"/>
        <w:spacing w:after="60"/>
        <w:ind w:left="360" w:hanging="230"/>
      </w:pPr>
      <w:r>
        <w:t>Azure Monitor, Log Analytics, Application Insights, diagnostics, alerts, and dashboards</w:t>
      </w:r>
    </w:p>
    <w:p>
      <w:pPr>
        <w:pStyle w:val="ListBullet"/>
        <w:spacing w:after="60"/>
        <w:ind w:left="360" w:hanging="230"/>
      </w:pPr>
      <w:r>
        <w:t>Environment separation</w:t>
      </w:r>
    </w:p>
    <w:p>
      <w:pPr>
        <w:pStyle w:val="ListBullet"/>
        <w:spacing w:after="60"/>
        <w:ind w:left="360" w:hanging="230"/>
      </w:pPr>
      <w:r>
        <w:t>Retention and recovery controls</w:t>
      </w:r>
    </w:p>
    <w:p>
      <w:pPr>
        <w:pStyle w:val="ListBullet"/>
        <w:spacing w:after="60"/>
        <w:ind w:left="360" w:hanging="230"/>
      </w:pPr>
      <w:r>
        <w:t>Policy and governance controls</w:t>
      </w:r>
    </w:p>
    <w:p>
      <w:pPr>
        <w:pStyle w:val="ListBullet"/>
        <w:spacing w:after="60"/>
        <w:ind w:left="360" w:hanging="230"/>
      </w:pPr>
      <w:r>
        <w:t>Repeatable deployment validation and negative security testing</w:t>
      </w:r>
    </w:p>
    <w:p>
      <w:pPr>
        <w:pStyle w:val="Heading1"/>
      </w:pPr>
      <w:r>
        <w:t>Security Model</w:t>
      </w:r>
    </w:p>
    <w:p>
      <w:r>
        <w:t>The target security model combines customer-controlled deployment, network isolation, private service connectivity, identity-based access, least-privilege authorization, protected secrets, restricted model access, structured audit storage, observability, and human decision authority. No single control establishes the entire security posture.</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CONTROL LAYER</w:t>
            </w:r>
          </w:p>
        </w:tc>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PURPOSE</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Network</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Restrict service paths and support private connectivity.</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Identity and RBAC</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Make access attributable and least privilege.</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Key Vault</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Protect keys, credentials, certificates, and sensitive configuration.</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Persistence</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Preserve governed transaction and audit state.</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Observability</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Expose health, access, failures, changes, and security events.</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Human authority</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Keep automated recommendations distinct from authorized dispositions.</w:t>
            </w:r>
          </w:p>
        </w:tc>
      </w:tr>
    </w:tbl>
    <w:p/>
    <w:p>
      <w:pPr>
        <w:pStyle w:val="Heading1"/>
      </w:pPr>
      <w:r>
        <w:t>Controlled Failure</w:t>
      </w:r>
    </w:p>
    <w:p>
      <w:r>
        <w:t>If consensus processing fails, the current orchestration direction preserves deterministic work and routes the transaction to human review rather than silently approving or discarding it. Production architecture should extend this principle to identity, network, storage, messaging, model, and logging failures.</w:t>
      </w:r>
    </w:p>
    <w:p>
      <w:pPr>
        <w:pStyle w:val="Heading1"/>
      </w:pPr>
      <w:r>
        <w:t>Validation Model</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ASSURANCE PROGRESSION</w:t>
              <w:br/>
            </w:r>
            <w:r>
              <w:t>Define the expected control → implement the control → test the control → capture the evidence → test the failure case → repeat after change.</w:t>
            </w:r>
          </w:p>
        </w:tc>
      </w:tr>
    </w:tbl>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VALIDATION STAGE</w:t>
            </w:r>
          </w:p>
        </w:tc>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PURPOSE</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Static validation</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Compile and inspect infrastructure definitions and parameters.</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Controlled deployment</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Create an attributable test environment.</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Configuration assertions</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Compare deployed properties with the expected contract.</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Connectivity and authorization</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Prove approved paths work and prohibited paths fail.</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Data and model testing</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Exercise governed persistence and model-serving paths.</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Evidence capture</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Preserve outputs, configurations, identifiers, results, and failures.</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Cleanup and repeatability</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Remove test resources and prove the process can be repeated.</w:t>
            </w:r>
          </w:p>
        </w:tc>
      </w:tr>
    </w:tbl>
    <w:p/>
    <w:p>
      <w:pPr>
        <w:pStyle w:val="Heading1"/>
      </w:pPr>
      <w:r>
        <w:t>Customer and Engineered Launch Responsibilities</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CUSTOMER CONTROL</w:t>
            </w:r>
          </w:p>
        </w:tc>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ENGINEERED LAUNCH RESPONSIBILITY</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Azure subscription, customer data, identities, network, security policy, customer OCGs, human-review authority</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Reusable DRE software, product architecture, deployment package, documentation, updates, validation methodology, and product support as defined commercially</w:t>
            </w:r>
          </w:p>
        </w:tc>
      </w:tr>
    </w:tbl>
    <w:p/>
    <w:p>
      <w:pPr>
        <w:pStyle w:val="Heading1"/>
      </w:pPr>
      <w:r>
        <w:t>Deployment Roadmap</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PHASE</w:t>
            </w:r>
          </w:p>
        </w:tc>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EXIT CONDITION</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Demonstrable DRE</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External evaluator can process the synthetic sample and obtain understandable outputs.</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Live Validation &amp; Customer Evidence</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External evidence identifies what users understand, value, need, and object to.</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Product / Documentation Completion</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Software, product definition, documentation, diagrams, and customer experience describe the same product direction.</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Enterprise Hardening &amp; Commercial Deployment</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DRE deploys repeatably into an authorized customer Azure environment with validated controls and commercial support.</w:t>
            </w:r>
          </w:p>
        </w:tc>
      </w:tr>
    </w:tbl>
    <w:p/>
    <w:p>
      <w:pPr>
        <w:pStyle w:val="Heading1"/>
      </w:pPr>
      <w:r>
        <w:t>Current State</w:t>
      </w:r>
    </w:p>
    <w:tbl>
      <w:tblPr>
        <w:tblStyle w:val="TableGrid"/>
        <w:tblW w:type="auto" w:w="0"/>
        <w:jc w:val="center"/>
        <w:tblLook w:firstColumn="1" w:firstRow="1" w:lastColumn="0" w:lastRow="0" w:noHBand="0" w:noVBand="1" w:val="04A0"/>
      </w:tblPr>
      <w:tblGrid>
        <w:gridCol w:w="3293"/>
        <w:gridCol w:w="3293"/>
        <w:gridCol w:w="3293"/>
      </w:tblGrid>
      <w:tr>
        <w:tc>
          <w:tcPr>
            <w:tcW w:type="dxa" w:w="3293"/>
            <w:vAlign w:val="center"/>
            <w:tcMar>
              <w:top w:w="120" w:type="dxa"/>
              <w:start w:w="120" w:type="dxa"/>
              <w:bottom w:w="120" w:type="dxa"/>
              <w:end w:w="120" w:type="dxa"/>
            </w:tcMar>
            <w:shd w:fill="16324F"/>
          </w:tcPr>
          <w:p>
            <w:pPr>
              <w:spacing w:after="0"/>
              <w:jc w:val="left"/>
            </w:pPr>
            <w:r/>
            <w:r>
              <w:rPr>
                <w:rFonts w:ascii="Aptos" w:hAnsi="Aptos"/>
                <w:b/>
                <w:color w:val="FFFFFF"/>
                <w:sz w:val="16"/>
              </w:rPr>
              <w:t>ESTABLISHED</w:t>
            </w:r>
          </w:p>
        </w:tc>
        <w:tc>
          <w:tcPr>
            <w:tcW w:type="dxa" w:w="3293"/>
            <w:vAlign w:val="center"/>
            <w:tcMar>
              <w:top w:w="120" w:type="dxa"/>
              <w:start w:w="120" w:type="dxa"/>
              <w:bottom w:w="120" w:type="dxa"/>
              <w:end w:w="120" w:type="dxa"/>
            </w:tcMar>
            <w:shd w:fill="16324F"/>
          </w:tcPr>
          <w:p>
            <w:pPr>
              <w:spacing w:after="0"/>
              <w:jc w:val="left"/>
            </w:pPr>
            <w:r/>
            <w:r>
              <w:rPr>
                <w:rFonts w:ascii="Aptos" w:hAnsi="Aptos"/>
                <w:b/>
                <w:color w:val="FFFFFF"/>
                <w:sz w:val="16"/>
              </w:rPr>
              <w:t>IN PROGRESS</w:t>
            </w:r>
          </w:p>
        </w:tc>
        <w:tc>
          <w:tcPr>
            <w:tcW w:type="dxa" w:w="3293"/>
            <w:vAlign w:val="center"/>
            <w:tcMar>
              <w:top w:w="120" w:type="dxa"/>
              <w:start w:w="120" w:type="dxa"/>
              <w:bottom w:w="120" w:type="dxa"/>
              <w:end w:w="120" w:type="dxa"/>
            </w:tcMar>
            <w:shd w:fill="16324F"/>
          </w:tcPr>
          <w:p>
            <w:pPr>
              <w:spacing w:after="0"/>
              <w:jc w:val="left"/>
            </w:pPr>
            <w:r/>
            <w:r>
              <w:rPr>
                <w:rFonts w:ascii="Aptos" w:hAnsi="Aptos"/>
                <w:b/>
                <w:color w:val="FFFFFF"/>
                <w:sz w:val="16"/>
              </w:rPr>
              <w:t>PRODUCTION WORK</w:t>
            </w:r>
          </w:p>
        </w:tc>
      </w:tr>
      <w:tr>
        <w:tc>
          <w:tcPr>
            <w:tcW w:type="dxa" w:w="3293"/>
            <w:vAlign w:val="center"/>
            <w:tcMar>
              <w:top w:w="120" w:type="dxa"/>
              <w:start w:w="120" w:type="dxa"/>
              <w:bottom w:w="120" w:type="dxa"/>
              <w:end w:w="120" w:type="dxa"/>
            </w:tcMar>
            <w:shd w:fill="FFFFFF"/>
          </w:tcPr>
          <w:p>
            <w:pPr>
              <w:spacing w:after="0"/>
              <w:jc w:val="left"/>
            </w:pPr>
            <w:r/>
            <w:r>
              <w:rPr>
                <w:rFonts w:ascii="Aptos" w:hAnsi="Aptos"/>
                <w:b w:val="0"/>
                <w:color w:val="24313C"/>
                <w:sz w:val="17"/>
              </w:rPr>
              <w:t>Deterministic engine; current consensus layer; orchestration; Azure foundation; validation direction; technical documentation</w:t>
            </w:r>
          </w:p>
        </w:tc>
        <w:tc>
          <w:tcPr>
            <w:tcW w:type="dxa" w:w="3293"/>
            <w:vAlign w:val="center"/>
            <w:tcMar>
              <w:top w:w="120" w:type="dxa"/>
              <w:start w:w="120" w:type="dxa"/>
              <w:bottom w:w="120" w:type="dxa"/>
              <w:end w:w="120" w:type="dxa"/>
            </w:tcMar>
            <w:shd w:fill="FFFFFF"/>
          </w:tcPr>
          <w:p>
            <w:pPr>
              <w:spacing w:after="0"/>
              <w:jc w:val="left"/>
            </w:pPr>
            <w:r/>
            <w:r>
              <w:rPr>
                <w:rFonts w:ascii="Aptos" w:hAnsi="Aptos"/>
                <w:b w:val="0"/>
                <w:color w:val="24313C"/>
                <w:sz w:val="17"/>
              </w:rPr>
              <w:t>Public demonstration; website; customer validation; feedback and early-access capture</w:t>
            </w:r>
          </w:p>
        </w:tc>
        <w:tc>
          <w:tcPr>
            <w:tcW w:type="dxa" w:w="3293"/>
            <w:vAlign w:val="center"/>
            <w:tcMar>
              <w:top w:w="120" w:type="dxa"/>
              <w:start w:w="120" w:type="dxa"/>
              <w:bottom w:w="120" w:type="dxa"/>
              <w:end w:w="120" w:type="dxa"/>
            </w:tcMar>
            <w:shd w:fill="FFFFFF"/>
          </w:tcPr>
          <w:p>
            <w:pPr>
              <w:spacing w:after="0"/>
              <w:jc w:val="left"/>
            </w:pPr>
            <w:r/>
            <w:r>
              <w:rPr>
                <w:rFonts w:ascii="Aptos" w:hAnsi="Aptos"/>
                <w:b w:val="0"/>
                <w:color w:val="24313C"/>
                <w:sz w:val="17"/>
              </w:rPr>
              <w:t>Private connectivity; managed identity/RBAC; runtime; messaging; governed data layer; model deployments; observability; recovery; retention; support; repeatable deployment</w:t>
            </w:r>
          </w:p>
        </w:tc>
      </w:tr>
    </w:tbl>
    <w:p/>
    <w:p>
      <w:pPr>
        <w:pStyle w:val="Heading1"/>
      </w:pPr>
      <w:r>
        <w:t>Deployment Principle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DEPLOYMENT DIRECTION</w:t>
              <w:br/>
            </w:r>
            <w:r>
              <w:t>Bring legal-billing review capability into the customer’s existing Azure ecosystem. Keep current implementation, intended architecture, and validated production controls clearly distinguishable.</w:t>
            </w:r>
          </w:p>
        </w:tc>
      </w:tr>
    </w:tbl>
    <w:p/>
    <w:sectPr w:rsidR="00FC693F" w:rsidRPr="0006063C" w:rsidSect="00034616">
      <w:headerReference w:type="default" r:id="rId9"/>
      <w:footerReference w:type="default" r:id="rId10"/>
      <w:pgSz w:w="12240" w:h="15840"/>
      <w:pgMar w:top="1037" w:right="1181" w:bottom="1037"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color w:val="2E7D7A"/>
        <w:sz w:val="16"/>
      </w:rPr>
      <w:t>ENGINEERED LAUNCH  •  DRE / DR. E</w:t>
    </w:r>
  </w:p>
  <w:p>
    <w:pPr>
      <w:jc w:val="right"/>
    </w:pPr>
    <w:r>
      <w:fldChar w:fldCharType="begin"/>
      <w:instrText>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ptos" w:hAnsi="Aptos"/>
        <w:b/>
        <w:color w:val="2E7D7A"/>
        <w:sz w:val="17"/>
      </w:rPr>
      <w:t>DRE  |  ENGINEERED LAUNCH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2431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20"/>
      <w:outlineLvl w:val="0"/>
    </w:pPr>
    <w:rPr>
      <w:rFonts w:asciiTheme="majorHAnsi" w:eastAsiaTheme="majorEastAsia" w:hAnsiTheme="majorHAnsi" w:cstheme="majorBidi" w:ascii="Aptos Display" w:hAnsi="Aptos Display"/>
      <w:b/>
      <w:bCs/>
      <w:color w:val="16324F"/>
      <w:sz w:val="38"/>
      <w:szCs w:val="28"/>
    </w:rPr>
  </w:style>
  <w:style w:type="paragraph" w:styleId="Heading2">
    <w:name w:val="heading 2"/>
    <w:basedOn w:val="Normal"/>
    <w:next w:val="Normal"/>
    <w:link w:val="Heading2Char"/>
    <w:uiPriority w:val="9"/>
    <w:unhideWhenUsed/>
    <w:qFormat/>
    <w:rsid w:val="00FC693F"/>
    <w:pPr>
      <w:keepNext/>
      <w:keepLines/>
      <w:spacing w:before="300" w:after="120"/>
      <w:outlineLvl w:val="1"/>
    </w:pPr>
    <w:rPr>
      <w:rFonts w:asciiTheme="majorHAnsi" w:eastAsiaTheme="majorEastAsia" w:hAnsiTheme="majorHAnsi" w:cstheme="majorBidi" w:ascii="Aptos Display" w:hAnsi="Aptos Display"/>
      <w:b/>
      <w:bCs/>
      <w:color w:val="1F5F8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300"/>
      <w:contextualSpacing/>
    </w:pPr>
    <w:rPr>
      <w:rFonts w:asciiTheme="majorHAnsi" w:eastAsiaTheme="majorEastAsia" w:hAnsiTheme="majorHAnsi" w:cstheme="majorBidi" w:ascii="Aptos Display" w:hAnsi="Aptos Display"/>
      <w:b/>
      <w:color w:val="16324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rPr>
      <w:rFonts w:ascii="Aptos" w:hAnsi="Aptos"/>
      <w:b/>
      <w:color w:val="16324F"/>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DRE Product &amp; Deployment Guide</dc:title>
  <dc:subject>DRE Product &amp; Deployment Guide</dc:subject>
  <dc:creator>Jamie Schallert</dc:creator>
  <keywords/>
  <dc:description>generated by python-docx</dc:description>
  <lastModifiedBy>Jamie Schallert</lastModifiedBy>
  <revision>1</revision>
  <dcterms:created xsi:type="dcterms:W3CDTF">2026-09-14T01:29:47.4115189Z</dcterms:created>
  <dcterms:modified xsi:type="dcterms:W3CDTF">2026-09-14T01:29:47.4115189Z</dcterms:modified>
  <category/>
</coreProperties>
</file>