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17. Development Backlog</w:t>
      </w:r>
    </w:p>
    <w:p>
      <w:r>
        <w:t>The DRE development backlog should organize unfinished work by decision urgency and product stage, not by a flat list of features.</w:t>
      </w:r>
    </w:p>
    <w:p>
      <w:r>
        <w:t>The current product direction already establishes a useful classification:</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CLASS</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PURPOSE</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DEMO NOW</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Required to make the current DRE proposition observable and usable by an external evaluator.</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BUILD NEXT</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Important product work justified by evaluator evidence or known architecture gaps.</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PRODUCTION</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Enterprise controls and operational capabilities required before hardened customer production deployment.</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INVESTIGATE</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Questions for which evidence or architecture is not yet sufficient for a final decision.</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NOT OUR PROBLEM</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Adjacent functionality deliberately excluded from current scope unless compelling later evidence supports reconsideration.</w:t>
            </w:r>
          </w:p>
        </w:tc>
      </w:tr>
    </w:tbl>
    <w:p/>
    <w:p>
      <w:r>
        <w:t>That model should remain because it protects DRE from two opposite defects: delaying a demonstrable product while attempting to build enterprise completeness too early, and allowing demo shortcuts to become mistaken for completed production architecture.</w:t>
      </w:r>
    </w:p>
    <w:p>
      <w:r>
        <w:t>The backlog is therefore not simply a list of things DRE could build. It is a controlled inventory of what must work immediately, what should follow customer evidence, what is required before enterprise deployment, what remains unresolved, and what DRE deliberately excludes.</w:t>
      </w:r>
    </w:p>
    <w:p>
      <w:r>
        <w:t>The market-entry research specifically establishes that findings should be classified in this way so research improves the product without becoming an academic delay. 2026-09-13_DRE_MARKET_ENTRY_CUSTOMER_PAIN_AND_PROMPTING_DIRECTION.md</w:t>
      </w:r>
    </w:p>
    <w:p>
      <w:pPr>
        <w:pStyle w:val="Heading2"/>
      </w:pPr>
      <w:r>
        <w:t>17.1 Backlog Operating Principle</w:t>
      </w:r>
    </w:p>
    <w:p>
      <w:r>
        <w:t>Every backlog item should be traceable to a reason.</w:t>
      </w:r>
    </w:p>
    <w:p>
      <w:pPr>
        <w:pStyle w:val="ListBullet"/>
        <w:spacing w:after="60"/>
        <w:ind w:left="360" w:hanging="230"/>
      </w:pPr>
      <w:r>
        <w:t>Current implementation gap</w:t>
      </w:r>
    </w:p>
    <w:p>
      <w:pPr>
        <w:pStyle w:val="ListBullet"/>
        <w:spacing w:after="60"/>
        <w:ind w:left="360" w:hanging="230"/>
      </w:pPr>
      <w:r>
        <w:t>Working-demo requirement</w:t>
      </w:r>
    </w:p>
    <w:p>
      <w:pPr>
        <w:pStyle w:val="ListBullet"/>
        <w:spacing w:after="60"/>
        <w:ind w:left="360" w:hanging="230"/>
      </w:pPr>
      <w:r>
        <w:t>Customer complaint</w:t>
      </w:r>
    </w:p>
    <w:p>
      <w:pPr>
        <w:pStyle w:val="ListBullet"/>
        <w:spacing w:after="60"/>
        <w:ind w:left="360" w:hanging="230"/>
      </w:pPr>
      <w:r>
        <w:t>Customer/evaluator evidence</w:t>
      </w:r>
    </w:p>
    <w:p>
      <w:pPr>
        <w:pStyle w:val="ListBullet"/>
        <w:spacing w:after="60"/>
        <w:ind w:left="360" w:hanging="230"/>
      </w:pPr>
      <w:r>
        <w:t>OCG requirement</w:t>
      </w:r>
    </w:p>
    <w:p>
      <w:pPr>
        <w:pStyle w:val="ListBullet"/>
        <w:spacing w:after="60"/>
        <w:ind w:left="360" w:hanging="230"/>
      </w:pPr>
      <w:r>
        <w:t>Architecture requirement</w:t>
      </w:r>
    </w:p>
    <w:p>
      <w:pPr>
        <w:pStyle w:val="ListBullet"/>
        <w:spacing w:after="60"/>
        <w:ind w:left="360" w:hanging="230"/>
      </w:pPr>
      <w:r>
        <w:t>Security requirement</w:t>
      </w:r>
    </w:p>
    <w:p>
      <w:pPr>
        <w:pStyle w:val="ListBullet"/>
        <w:spacing w:after="60"/>
        <w:ind w:left="360" w:hanging="230"/>
      </w:pPr>
      <w:r>
        <w:t>Validation requirement</w:t>
      </w:r>
    </w:p>
    <w:p>
      <w:pPr>
        <w:pStyle w:val="ListBullet"/>
        <w:spacing w:after="60"/>
        <w:ind w:left="360" w:hanging="230"/>
      </w:pPr>
      <w:r>
        <w:t>Documentation inconsistency</w:t>
      </w:r>
    </w:p>
    <w:p>
      <w:pPr>
        <w:pStyle w:val="ListBullet"/>
        <w:spacing w:after="60"/>
        <w:ind w:left="360" w:hanging="230"/>
      </w:pPr>
      <w:r>
        <w:t>Commercial requirement</w:t>
      </w:r>
    </w:p>
    <w:p>
      <w:pPr>
        <w:pStyle w:val="ListBullet"/>
        <w:spacing w:after="60"/>
        <w:ind w:left="360" w:hanging="230"/>
      </w:pPr>
      <w:r>
        <w:t>Microsoft/Azure requirement</w:t>
      </w:r>
    </w:p>
    <w:p>
      <w:pPr>
        <w:pStyle w:val="ListBullet"/>
        <w:spacing w:after="60"/>
        <w:ind w:left="360" w:hanging="230"/>
      </w:pPr>
      <w:r>
        <w:t>Investor diligence requirement</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DESIRED CHAIN</w:t>
              <w:br/>
            </w:r>
            <w:r>
              <w:t>Evidence or known gap → product implication → priority classification → implementation → validation → documentation.</w:t>
            </w:r>
          </w:p>
        </w:tc>
      </w:tr>
    </w:tbl>
    <w:p/>
    <w:p>
      <w:pPr>
        <w:pStyle w:val="Heading2"/>
      </w:pPr>
      <w:r>
        <w:t>17.2 Priority Classes</w:t>
      </w:r>
    </w:p>
    <w:p>
      <w:r>
        <w:t>The classification is already present in the current DRE market-entry direction and should remain the backlog’s primary sorting mechanism. 2026-09-13_DRE_MARKET_ENTRY_CUSTOMER_PAIN_AND_PROMPTING_DIRECTION.md</w:t>
      </w:r>
    </w:p>
    <w:p>
      <w:pPr>
        <w:pStyle w:val="Heading2"/>
      </w:pPr>
      <w:r>
        <w:t>17.3 DEMO NOW — Working Product</w:t>
      </w:r>
    </w:p>
    <w:p>
      <w:r>
        <w:t>Representative legal-billing file → DRE processing → understandable result → Passed Consensus + Human Review.</w:t>
      </w:r>
    </w:p>
    <w:p>
      <w:pPr>
        <w:pStyle w:val="ListBullet"/>
        <w:spacing w:after="60"/>
        <w:ind w:left="360" w:hanging="230"/>
      </w:pPr>
      <w:r>
        <w:t>Supplied synthetic legal-billing sample</w:t>
      </w:r>
    </w:p>
    <w:p>
      <w:pPr>
        <w:pStyle w:val="ListBullet"/>
        <w:spacing w:after="60"/>
        <w:ind w:left="360" w:hanging="230"/>
      </w:pPr>
      <w:r>
        <w:t>File selection / drag-and-drop</w:t>
      </w:r>
    </w:p>
    <w:p>
      <w:pPr>
        <w:pStyle w:val="ListBullet"/>
        <w:spacing w:after="60"/>
        <w:ind w:left="360" w:hanging="230"/>
      </w:pPr>
      <w:r>
        <w:t>Actual DRE processing</w:t>
      </w:r>
    </w:p>
    <w:p>
      <w:pPr>
        <w:pStyle w:val="ListBullet"/>
        <w:spacing w:after="60"/>
        <w:ind w:left="360" w:hanging="230"/>
      </w:pPr>
      <w:r>
        <w:t>Deterministic evaluation</w:t>
      </w:r>
    </w:p>
    <w:p>
      <w:pPr>
        <w:pStyle w:val="ListBullet"/>
        <w:spacing w:after="60"/>
        <w:ind w:left="360" w:hanging="230"/>
      </w:pPr>
      <w:r>
        <w:t>Consensus path where applicable</w:t>
      </w:r>
    </w:p>
    <w:p>
      <w:pPr>
        <w:pStyle w:val="ListBullet"/>
        <w:spacing w:after="60"/>
        <w:ind w:left="360" w:hanging="230"/>
      </w:pPr>
      <w:r>
        <w:t>Processing state</w:t>
      </w:r>
    </w:p>
    <w:p>
      <w:pPr>
        <w:pStyle w:val="ListBullet"/>
        <w:spacing w:after="60"/>
        <w:ind w:left="360" w:hanging="230"/>
      </w:pPr>
      <w:r>
        <w:t>Results</w:t>
      </w:r>
    </w:p>
    <w:p>
      <w:pPr>
        <w:pStyle w:val="ListBullet"/>
        <w:spacing w:after="60"/>
        <w:ind w:left="360" w:hanging="230"/>
      </w:pPr>
      <w:r>
        <w:t>Counts</w:t>
      </w:r>
    </w:p>
    <w:p>
      <w:pPr>
        <w:pStyle w:val="ListBullet"/>
        <w:spacing w:after="60"/>
        <w:ind w:left="360" w:hanging="230"/>
      </w:pPr>
      <w:r>
        <w:t>Transaction-level explanation</w:t>
      </w:r>
    </w:p>
    <w:p>
      <w:pPr>
        <w:pStyle w:val="ListBullet"/>
        <w:spacing w:after="60"/>
        <w:ind w:left="360" w:hanging="230"/>
      </w:pPr>
      <w:r>
        <w:t>Two downloadable outputs</w:t>
      </w:r>
    </w:p>
    <w:p>
      <w:pPr>
        <w:pStyle w:val="ListBullet"/>
        <w:spacing w:after="60"/>
        <w:ind w:left="360" w:hanging="230"/>
      </w:pPr>
      <w:r>
        <w:t>Human-review visibility</w:t>
      </w:r>
    </w:p>
    <w:p>
      <w:pPr>
        <w:pStyle w:val="ListBullet"/>
        <w:spacing w:after="60"/>
        <w:ind w:left="360" w:hanging="230"/>
      </w:pPr>
      <w:r>
        <w:t>Demo limitations</w:t>
      </w:r>
    </w:p>
    <w:p>
      <w:pPr>
        <w:pStyle w:val="ListBullet"/>
        <w:spacing w:after="60"/>
        <w:ind w:left="360" w:hanging="230"/>
      </w:pPr>
      <w:r>
        <w:t>Feedback path</w:t>
      </w:r>
    </w:p>
    <w:p>
      <w:pPr>
        <w:pStyle w:val="ListBullet"/>
        <w:spacing w:after="60"/>
        <w:ind w:left="360" w:hanging="230"/>
      </w:pPr>
      <w:r>
        <w:t>Early-access / waitlist path</w:t>
      </w:r>
    </w:p>
    <w:p>
      <w:pPr>
        <w:pStyle w:val="Heading2"/>
      </w:pPr>
      <w:r>
        <w:t>17.4 DEMO NOW — Sample Billing Data</w:t>
      </w:r>
    </w:p>
    <w:p>
      <w:r>
        <w:t>The current synthetic dataset provides the immediate controlled demo input.</w:t>
      </w:r>
    </w:p>
    <w:p>
      <w:pPr>
        <w:pStyle w:val="ListBullet"/>
        <w:spacing w:after="60"/>
        <w:ind w:left="360" w:hanging="230"/>
      </w:pPr>
      <w:r>
        <w:t>Loads reliably</w:t>
      </w:r>
    </w:p>
    <w:p>
      <w:pPr>
        <w:pStyle w:val="ListBullet"/>
        <w:spacing w:after="60"/>
        <w:ind w:left="360" w:hanging="230"/>
      </w:pPr>
      <w:r>
        <w:t>Maps correctly into the DRE transaction contract</w:t>
      </w:r>
    </w:p>
    <w:p>
      <w:pPr>
        <w:pStyle w:val="ListBullet"/>
        <w:spacing w:after="60"/>
        <w:ind w:left="360" w:hanging="230"/>
      </w:pPr>
      <w:r>
        <w:t>Exercises deterministic rules</w:t>
      </w:r>
    </w:p>
    <w:p>
      <w:pPr>
        <w:pStyle w:val="ListBullet"/>
        <w:spacing w:after="60"/>
        <w:ind w:left="360" w:hanging="230"/>
      </w:pPr>
      <w:r>
        <w:t>Exercises consensus where intended</w:t>
      </w:r>
    </w:p>
    <w:p>
      <w:pPr>
        <w:pStyle w:val="ListBullet"/>
        <w:spacing w:after="60"/>
        <w:ind w:left="360" w:hanging="230"/>
      </w:pPr>
      <w:r>
        <w:t>Produces understandable output</w:t>
      </w:r>
    </w:p>
    <w:p>
      <w:pPr>
        <w:pStyle w:val="ListBullet"/>
        <w:spacing w:after="60"/>
        <w:ind w:left="360" w:hanging="230"/>
      </w:pPr>
      <w:r>
        <w:t>Contains no actual client/matter data</w:t>
      </w:r>
    </w:p>
    <w:p>
      <w:pPr>
        <w:pStyle w:val="ListBullet"/>
        <w:spacing w:after="60"/>
        <w:ind w:left="360" w:hanging="230"/>
      </w:pPr>
      <w:r>
        <w:t>Remains obviously synthetic</w:t>
      </w:r>
    </w:p>
    <w:p>
      <w:pPr>
        <w:pStyle w:val="Heading2"/>
      </w:pPr>
      <w:r>
        <w:t>17.5 DEMO NOW — File Processing</w:t>
      </w:r>
    </w:p>
    <w:p>
      <w:r>
        <w:t>The public demo requires a reliable path from selected file to transaction processing.</w:t>
      </w:r>
    </w:p>
    <w:p>
      <w:pPr>
        <w:pStyle w:val="ListBullet"/>
        <w:spacing w:after="60"/>
        <w:ind w:left="360" w:hanging="230"/>
      </w:pPr>
      <w:r>
        <w:t>Parse supplied sample</w:t>
      </w:r>
    </w:p>
    <w:p>
      <w:pPr>
        <w:pStyle w:val="ListBullet"/>
        <w:spacing w:after="60"/>
        <w:ind w:left="360" w:hanging="230"/>
      </w:pPr>
      <w:r>
        <w:t>Validate basic file structure</w:t>
      </w:r>
    </w:p>
    <w:p>
      <w:pPr>
        <w:pStyle w:val="ListBullet"/>
        <w:spacing w:after="60"/>
        <w:ind w:left="360" w:hanging="230"/>
      </w:pPr>
      <w:r>
        <w:t>Convert sample into DRE transaction objects</w:t>
      </w:r>
    </w:p>
    <w:p>
      <w:pPr>
        <w:pStyle w:val="ListBullet"/>
        <w:spacing w:after="60"/>
        <w:ind w:left="360" w:hanging="230"/>
      </w:pPr>
      <w:r>
        <w:t>Process every line item</w:t>
      </w:r>
    </w:p>
    <w:p>
      <w:pPr>
        <w:pStyle w:val="ListBullet"/>
        <w:spacing w:after="60"/>
        <w:ind w:left="360" w:hanging="230"/>
      </w:pPr>
      <w:r>
        <w:t>Preserve transaction identifiers</w:t>
      </w:r>
    </w:p>
    <w:p>
      <w:pPr>
        <w:pStyle w:val="ListBullet"/>
        <w:spacing w:after="60"/>
        <w:ind w:left="360" w:hanging="230"/>
      </w:pPr>
      <w:r>
        <w:t>Return transaction-level outcomes</w:t>
      </w:r>
    </w:p>
    <w:p>
      <w:pPr>
        <w:pStyle w:val="ListBullet"/>
        <w:spacing w:after="60"/>
        <w:ind w:left="360" w:hanging="230"/>
      </w:pPr>
      <w:r>
        <w:t>Handle invalid demo input clearly</w:t>
      </w:r>
    </w:p>
    <w:p>
      <w:pPr>
        <w:pStyle w:val="ListBullet"/>
        <w:spacing w:after="60"/>
        <w:ind w:left="360" w:hanging="230"/>
      </w:pPr>
      <w:r>
        <w:t>Prevent failed processing from presenting false success</w:t>
      </w:r>
    </w:p>
    <w:p>
      <w:pPr>
        <w:pStyle w:val="Heading2"/>
      </w:pPr>
      <w:r>
        <w:t>17.6 DEMO NOW — Deterministic Engine Integration</w:t>
      </w:r>
    </w:p>
    <w:p>
      <w:r>
        <w:t>Demo integration must ensure that each submitted transaction actually reaches the deterministic engine.</w:t>
      </w:r>
    </w:p>
    <w:p>
      <w:pPr>
        <w:pStyle w:val="ListBullet"/>
        <w:spacing w:after="60"/>
        <w:ind w:left="360" w:hanging="230"/>
      </w:pPr>
      <w:r>
        <w:t>Rule detection</w:t>
      </w:r>
    </w:p>
    <w:p>
      <w:pPr>
        <w:pStyle w:val="ListBullet"/>
        <w:spacing w:after="60"/>
        <w:ind w:left="360" w:hanging="230"/>
      </w:pPr>
      <w:r>
        <w:t>Violations</w:t>
      </w:r>
    </w:p>
    <w:p>
      <w:pPr>
        <w:pStyle w:val="ListBullet"/>
        <w:spacing w:after="60"/>
        <w:ind w:left="360" w:hanging="230"/>
      </w:pPr>
      <w:r>
        <w:t>Sanitized narrative</w:t>
      </w:r>
    </w:p>
    <w:p>
      <w:pPr>
        <w:pStyle w:val="ListBullet"/>
        <w:spacing w:after="60"/>
        <w:ind w:left="360" w:hanging="230"/>
      </w:pPr>
      <w:r>
        <w:t>Original financial value</w:t>
      </w:r>
    </w:p>
    <w:p>
      <w:pPr>
        <w:pStyle w:val="ListBullet"/>
        <w:spacing w:after="60"/>
        <w:ind w:left="360" w:hanging="230"/>
      </w:pPr>
      <w:r>
        <w:t>Adjusted financial value</w:t>
      </w:r>
    </w:p>
    <w:p>
      <w:pPr>
        <w:pStyle w:val="ListBullet"/>
        <w:spacing w:after="60"/>
        <w:ind w:left="360" w:hanging="230"/>
      </w:pPr>
      <w:r>
        <w:t>needs_ai_consensus</w:t>
      </w:r>
    </w:p>
    <w:p>
      <w:pPr>
        <w:pStyle w:val="ListBullet"/>
        <w:spacing w:after="60"/>
        <w:ind w:left="360" w:hanging="230"/>
      </w:pPr>
      <w:r>
        <w:t>Early-exit behavior</w:t>
      </w:r>
    </w:p>
    <w:p>
      <w:pPr>
        <w:pStyle w:val="Heading2"/>
      </w:pPr>
      <w:r>
        <w:t>17.7 DEMO NOW — Consensus Integration</w:t>
      </w:r>
    </w:p>
    <w:p>
      <w:r>
        <w:t>Transactions requiring semantic review must enter the current consensus implementation.</w:t>
      </w:r>
    </w:p>
    <w:p>
      <w:pPr>
        <w:pStyle w:val="ListBullet"/>
        <w:spacing w:after="60"/>
        <w:ind w:left="360" w:hanging="230"/>
      </w:pPr>
      <w:r>
        <w:t>Three differentiated agents</w:t>
      </w:r>
    </w:p>
    <w:p>
      <w:pPr>
        <w:pStyle w:val="ListBullet"/>
        <w:spacing w:after="60"/>
        <w:ind w:left="360" w:hanging="230"/>
      </w:pPr>
      <w:r>
        <w:t>Structured votes</w:t>
      </w:r>
    </w:p>
    <w:p>
      <w:pPr>
        <w:pStyle w:val="ListBullet"/>
        <w:spacing w:after="60"/>
        <w:ind w:left="360" w:hanging="230"/>
      </w:pPr>
      <w:r>
        <w:t>Deterministic referee</w:t>
      </w:r>
    </w:p>
    <w:p>
      <w:pPr>
        <w:pStyle w:val="Heading2"/>
      </w:pPr>
      <w:r>
        <w:t>17.8 DEMO NOW — Human Review Routing</w:t>
      </w:r>
    </w:p>
    <w:p>
      <w:r>
        <w:t>The demonstration needs a real, understandable Human Review population.</w:t>
      </w:r>
    </w:p>
    <w:p>
      <w:pPr>
        <w:pStyle w:val="ListBullet"/>
        <w:spacing w:after="60"/>
        <w:ind w:left="360" w:hanging="230"/>
      </w:pPr>
      <w:r>
        <w:t>Transactions requiring human attention are identifiable.</w:t>
      </w:r>
    </w:p>
    <w:p>
      <w:pPr>
        <w:pStyle w:val="ListBullet"/>
        <w:spacing w:after="60"/>
        <w:ind w:left="360" w:hanging="230"/>
      </w:pPr>
      <w:r>
        <w:t>Reason for routing is visible.</w:t>
      </w:r>
    </w:p>
    <w:p>
      <w:pPr>
        <w:pStyle w:val="ListBullet"/>
        <w:spacing w:after="60"/>
        <w:ind w:left="360" w:hanging="230"/>
      </w:pPr>
      <w:r>
        <w:t>Original transaction remains available.</w:t>
      </w:r>
    </w:p>
    <w:p>
      <w:pPr>
        <w:pStyle w:val="ListBullet"/>
        <w:spacing w:after="60"/>
        <w:ind w:left="360" w:hanging="230"/>
      </w:pPr>
      <w:r>
        <w:t>Automated result remains distinguishable from human disposition.</w:t>
      </w:r>
    </w:p>
    <w:p>
      <w:pPr>
        <w:pStyle w:val="ListBullet"/>
        <w:spacing w:after="60"/>
        <w:ind w:left="360" w:hanging="230"/>
      </w:pPr>
      <w:r>
        <w:t>Failed consensus can route safely rather than silently approving.</w:t>
      </w:r>
    </w:p>
    <w:p>
      <w:pPr>
        <w:pStyle w:val="Heading2"/>
      </w:pPr>
      <w:r>
        <w:t>17.9 DEMO NOW — Result Counts</w:t>
      </w:r>
    </w:p>
    <w:p>
      <w:r>
        <w:t>The working demo needs the agreed summary counts:</w:t>
      </w:r>
    </w:p>
    <w:p>
      <w:pPr>
        <w:pStyle w:val="ListBullet"/>
        <w:spacing w:after="60"/>
        <w:ind w:left="360" w:hanging="230"/>
      </w:pPr>
      <w:r>
        <w:t>Total Reviewed</w:t>
      </w:r>
    </w:p>
    <w:p>
      <w:pPr>
        <w:pStyle w:val="ListBullet"/>
        <w:spacing w:after="60"/>
        <w:ind w:left="360" w:hanging="230"/>
      </w:pPr>
      <w:r>
        <w:t>Deterministic Review / Pass</w:t>
      </w:r>
    </w:p>
    <w:p>
      <w:pPr>
        <w:pStyle w:val="ListBullet"/>
        <w:spacing w:after="60"/>
        <w:ind w:left="360" w:hanging="230"/>
      </w:pPr>
      <w:r>
        <w:t>Sent to Consensus</w:t>
      </w:r>
    </w:p>
    <w:p>
      <w:pPr>
        <w:pStyle w:val="ListBullet"/>
        <w:spacing w:after="60"/>
        <w:ind w:left="360" w:hanging="230"/>
      </w:pPr>
      <w:r>
        <w:t>Passed Consensus</w:t>
      </w:r>
    </w:p>
    <w:p>
      <w:pPr>
        <w:pStyle w:val="ListBullet"/>
        <w:spacing w:after="60"/>
        <w:ind w:left="360" w:hanging="230"/>
      </w:pPr>
      <w:r>
        <w:t>Human Review</w:t>
      </w:r>
    </w:p>
    <w:p>
      <w:pPr>
        <w:pStyle w:val="Heading2"/>
      </w:pPr>
      <w:r>
        <w:t>17.10 DEMO NOW — Two Output Files</w:t>
      </w:r>
    </w:p>
    <w:p>
      <w:r>
        <w:t>The demo must produce PASSED CONSENSUS and HUMAN REVIEW.</w:t>
      </w:r>
    </w:p>
    <w:p>
      <w:pPr>
        <w:pStyle w:val="ListBullet"/>
        <w:spacing w:after="60"/>
        <w:ind w:left="360" w:hanging="230"/>
      </w:pPr>
      <w:r>
        <w:t>Correct transaction assignment</w:t>
      </w:r>
    </w:p>
    <w:p>
      <w:pPr>
        <w:pStyle w:val="ListBullet"/>
        <w:spacing w:after="60"/>
        <w:ind w:left="360" w:hanging="230"/>
      </w:pPr>
      <w:r>
        <w:t>Understandable output structure</w:t>
      </w:r>
    </w:p>
    <w:p>
      <w:pPr>
        <w:pStyle w:val="ListBullet"/>
        <w:spacing w:after="60"/>
        <w:ind w:left="360" w:hanging="230"/>
      </w:pPr>
      <w:r>
        <w:t>Download generation</w:t>
      </w:r>
    </w:p>
    <w:p>
      <w:pPr>
        <w:pStyle w:val="ListBullet"/>
        <w:spacing w:after="60"/>
        <w:ind w:left="360" w:hanging="230"/>
      </w:pPr>
      <w:r>
        <w:t>Stable file naming</w:t>
      </w:r>
    </w:p>
    <w:p>
      <w:pPr>
        <w:pStyle w:val="ListBullet"/>
        <w:spacing w:after="60"/>
        <w:ind w:left="360" w:hanging="230"/>
      </w:pPr>
      <w:r>
        <w:t>Preservation of relevant transaction information</w:t>
      </w:r>
    </w:p>
    <w:p>
      <w:pPr>
        <w:pStyle w:val="ListBullet"/>
        <w:spacing w:after="60"/>
        <w:ind w:left="360" w:hanging="230"/>
      </w:pPr>
      <w:r>
        <w:t>Clear distinction between the two output populations</w:t>
      </w:r>
    </w:p>
    <w:p>
      <w:pPr>
        <w:pStyle w:val="Heading2"/>
      </w:pPr>
      <w:r>
        <w:t>17.11 DEMO NOW — Financial Terminology</w:t>
      </w:r>
    </w:p>
    <w:p>
      <w:r>
        <w:t>Immediate customer-facing terminology should distinguish calculated or proposed values from authorized or realized outcomes.</w:t>
      </w:r>
    </w:p>
    <w:p>
      <w:pPr>
        <w:pStyle w:val="ListBullet"/>
        <w:spacing w:after="60"/>
        <w:ind w:left="360" w:hanging="230"/>
      </w:pPr>
      <w:r>
        <w:t>Original amount</w:t>
      </w:r>
    </w:p>
    <w:p>
      <w:pPr>
        <w:pStyle w:val="ListBullet"/>
        <w:spacing w:after="60"/>
        <w:ind w:left="360" w:hanging="230"/>
      </w:pPr>
      <w:r>
        <w:t>Adjusted calculated amount</w:t>
      </w:r>
    </w:p>
    <w:p>
      <w:pPr>
        <w:pStyle w:val="ListBullet"/>
        <w:spacing w:after="60"/>
        <w:ind w:left="360" w:hanging="230"/>
      </w:pPr>
      <w:r>
        <w:t>Flagged difference</w:t>
      </w:r>
    </w:p>
    <w:p>
      <w:pPr>
        <w:pStyle w:val="ListBullet"/>
        <w:spacing w:after="60"/>
        <w:ind w:left="360" w:hanging="230"/>
      </w:pPr>
      <w:r>
        <w:t>Proposed adjustment</w:t>
      </w:r>
    </w:p>
    <w:p>
      <w:pPr>
        <w:pStyle w:val="ListBullet"/>
        <w:spacing w:after="60"/>
        <w:ind w:left="360" w:hanging="230"/>
      </w:pPr>
      <w:r>
        <w:t>Authorized adjustment</w:t>
      </w:r>
    </w:p>
    <w:p>
      <w:pPr>
        <w:pStyle w:val="ListBullet"/>
        <w:spacing w:after="60"/>
        <w:ind w:left="360" w:hanging="230"/>
      </w:pPr>
      <w:r>
        <w:t>Realized savings/outcome</w:t>
      </w:r>
    </w:p>
    <w:p>
      <w:pPr>
        <w:pStyle w:val="Heading2"/>
      </w:pPr>
      <w:r>
        <w:t>17.12 DEMO NOW — Website</w:t>
      </w:r>
    </w:p>
    <w:p>
      <w:r>
        <w:t>The first website deployment needs:</w:t>
      </w:r>
    </w:p>
    <w:p>
      <w:pPr>
        <w:pStyle w:val="ListBullet"/>
        <w:spacing w:after="60"/>
        <w:ind w:left="360" w:hanging="230"/>
      </w:pPr>
      <w:r>
        <w:t>Strong DRE overview</w:t>
      </w:r>
    </w:p>
    <w:p>
      <w:pPr>
        <w:pStyle w:val="ListBullet"/>
        <w:spacing w:after="60"/>
        <w:ind w:left="360" w:hanging="230"/>
      </w:pPr>
      <w:r>
        <w:t>Legal-billing problem</w:t>
      </w:r>
    </w:p>
    <w:p>
      <w:pPr>
        <w:pStyle w:val="ListBullet"/>
        <w:spacing w:after="60"/>
        <w:ind w:left="360" w:hanging="230"/>
      </w:pPr>
      <w:r>
        <w:t>Core product proposition</w:t>
      </w:r>
    </w:p>
    <w:p>
      <w:pPr>
        <w:pStyle w:val="ListBullet"/>
        <w:spacing w:after="60"/>
        <w:ind w:left="360" w:hanging="230"/>
      </w:pPr>
      <w:r>
        <w:t>Customer-owned Azure direction</w:t>
      </w:r>
    </w:p>
    <w:p>
      <w:pPr>
        <w:pStyle w:val="ListBullet"/>
        <w:spacing w:after="60"/>
        <w:ind w:left="360" w:hanging="230"/>
      </w:pPr>
      <w:r>
        <w:t>Current source-backed product pages</w:t>
      </w:r>
    </w:p>
    <w:p>
      <w:pPr>
        <w:pStyle w:val="ListBullet"/>
        <w:spacing w:after="60"/>
        <w:ind w:left="360" w:hanging="230"/>
      </w:pPr>
      <w:r>
        <w:t>Working demo</w:t>
      </w:r>
    </w:p>
    <w:p>
      <w:pPr>
        <w:pStyle w:val="ListBullet"/>
        <w:spacing w:after="60"/>
        <w:ind w:left="360" w:hanging="230"/>
      </w:pPr>
      <w:r>
        <w:t>Technical-document downloads</w:t>
      </w:r>
    </w:p>
    <w:p>
      <w:pPr>
        <w:pStyle w:val="ListBullet"/>
        <w:spacing w:after="60"/>
        <w:ind w:left="360" w:hanging="230"/>
      </w:pPr>
      <w:r>
        <w:t>Responsive diagrams</w:t>
      </w:r>
    </w:p>
    <w:p>
      <w:pPr>
        <w:pStyle w:val="ListBullet"/>
        <w:spacing w:after="60"/>
        <w:ind w:left="360" w:hanging="230"/>
      </w:pPr>
      <w:r>
        <w:t>Feedback capture</w:t>
      </w:r>
    </w:p>
    <w:p>
      <w:pPr>
        <w:pStyle w:val="ListBullet"/>
        <w:spacing w:after="60"/>
        <w:ind w:left="360" w:hanging="230"/>
      </w:pPr>
      <w:r>
        <w:t>Waitlist / early-access capture</w:t>
      </w:r>
    </w:p>
    <w:p>
      <w:pPr>
        <w:pStyle w:val="Heading2"/>
      </w:pPr>
      <w:r>
        <w:t>17.13 DEMO NOW — Persistent Feedback Capture</w:t>
      </w:r>
    </w:p>
    <w:p>
      <w:r>
        <w:t>Immediate functionality should support the established submission categories.</w:t>
      </w:r>
    </w:p>
    <w:p>
      <w:pPr>
        <w:pStyle w:val="ListBullet"/>
        <w:spacing w:after="60"/>
        <w:ind w:left="360" w:hanging="230"/>
      </w:pPr>
      <w:r>
        <w:t>Waitlist / early access</w:t>
      </w:r>
    </w:p>
    <w:p>
      <w:pPr>
        <w:pStyle w:val="ListBullet"/>
        <w:spacing w:after="60"/>
        <w:ind w:left="360" w:hanging="230"/>
      </w:pPr>
      <w:r>
        <w:t>Private feedback</w:t>
      </w:r>
    </w:p>
    <w:p>
      <w:pPr>
        <w:pStyle w:val="ListBullet"/>
        <w:spacing w:after="60"/>
        <w:ind w:left="360" w:hanging="230"/>
      </w:pPr>
      <w:r>
        <w:t>Named review</w:t>
      </w:r>
    </w:p>
    <w:p>
      <w:pPr>
        <w:pStyle w:val="Heading2"/>
      </w:pPr>
      <w:r>
        <w:t>17.14 DEMO NOW — Documentation Pairing</w:t>
      </w:r>
    </w:p>
    <w:p>
      <w:r>
        <w:t>Existing source documents should be paired with relevant current webpages.</w:t>
      </w:r>
    </w:p>
    <w:p>
      <w:pPr>
        <w:pStyle w:val="ListBullet"/>
        <w:spacing w:after="60"/>
        <w:ind w:left="360" w:hanging="230"/>
      </w:pPr>
      <w:r>
        <w:t>Which document supports which page</w:t>
      </w:r>
    </w:p>
    <w:p>
      <w:pPr>
        <w:pStyle w:val="ListBullet"/>
        <w:spacing w:after="60"/>
        <w:ind w:left="360" w:hanging="230"/>
      </w:pPr>
      <w:r>
        <w:t>Which documents remain current</w:t>
      </w:r>
    </w:p>
    <w:p>
      <w:pPr>
        <w:pStyle w:val="ListBullet"/>
        <w:spacing w:after="60"/>
        <w:ind w:left="360" w:hanging="230"/>
      </w:pPr>
      <w:r>
        <w:t>Which contain outdated scope</w:t>
      </w:r>
    </w:p>
    <w:p>
      <w:pPr>
        <w:pStyle w:val="ListBullet"/>
        <w:spacing w:after="60"/>
        <w:ind w:left="360" w:hanging="230"/>
      </w:pPr>
      <w:r>
        <w:t>Which pages can accurately be built now</w:t>
      </w:r>
    </w:p>
    <w:p>
      <w:pPr>
        <w:pStyle w:val="ListBullet"/>
        <w:spacing w:after="60"/>
        <w:ind w:left="360" w:hanging="230"/>
      </w:pPr>
      <w:r>
        <w:t>Which concepts should wait for new documentation</w:t>
      </w:r>
    </w:p>
    <w:p>
      <w:pPr>
        <w:pStyle w:val="Heading2"/>
      </w:pPr>
      <w:r>
        <w:t>17.15 BUILD NEXT — Billing Input and Normalization</w:t>
      </w:r>
    </w:p>
    <w:p>
      <w:pPr>
        <w:pStyle w:val="ListBullet"/>
        <w:spacing w:after="60"/>
        <w:ind w:left="360" w:hanging="230"/>
      </w:pPr>
      <w:r>
        <w:t>LEDES® 1998B support</w:t>
      </w:r>
    </w:p>
    <w:p>
      <w:pPr>
        <w:pStyle w:val="ListBullet"/>
        <w:spacing w:after="60"/>
        <w:ind w:left="360" w:hanging="230"/>
      </w:pPr>
      <w:r>
        <w:t>Simple CSV support</w:t>
      </w:r>
    </w:p>
    <w:p>
      <w:pPr>
        <w:pStyle w:val="ListBullet"/>
        <w:spacing w:after="60"/>
        <w:ind w:left="360" w:hanging="230"/>
      </w:pPr>
      <w:r>
        <w:t>Input validation</w:t>
      </w:r>
    </w:p>
    <w:p>
      <w:pPr>
        <w:pStyle w:val="ListBullet"/>
        <w:spacing w:after="60"/>
        <w:ind w:left="360" w:hanging="230"/>
      </w:pPr>
      <w:r>
        <w:t>Field mapping</w:t>
      </w:r>
    </w:p>
    <w:p>
      <w:pPr>
        <w:pStyle w:val="ListBullet"/>
        <w:spacing w:after="60"/>
        <w:ind w:left="360" w:hanging="230"/>
      </w:pPr>
      <w:r>
        <w:t>Normalization into common internal transaction contract</w:t>
      </w:r>
    </w:p>
    <w:p>
      <w:pPr>
        <w:pStyle w:val="ListBullet"/>
        <w:spacing w:after="60"/>
        <w:ind w:left="360" w:hanging="230"/>
      </w:pPr>
      <w:r>
        <w:t>Error reporting</w:t>
      </w:r>
    </w:p>
    <w:p>
      <w:pPr>
        <w:pStyle w:val="ListBullet"/>
        <w:spacing w:after="60"/>
        <w:ind w:left="360" w:hanging="230"/>
      </w:pPr>
      <w:r>
        <w:t>Unsupported-field handling</w:t>
      </w:r>
    </w:p>
    <w:p>
      <w:pPr>
        <w:pStyle w:val="ListBullet"/>
        <w:spacing w:after="60"/>
        <w:ind w:left="360" w:hanging="230"/>
      </w:pPr>
      <w:r>
        <w:t>Preservation of original source values</w:t>
      </w:r>
    </w:p>
    <w:p>
      <w:pPr>
        <w:pStyle w:val="Heading2"/>
      </w:pPr>
      <w:r>
        <w:t>17.16 BUILD NEXT — OCG Rule Architecture</w:t>
      </w:r>
    </w:p>
    <w:p>
      <w:pPr>
        <w:pStyle w:val="ListBullet"/>
        <w:spacing w:after="60"/>
        <w:ind w:left="360" w:hanging="230"/>
      </w:pPr>
      <w:r>
        <w:t>Rule representation</w:t>
      </w:r>
    </w:p>
    <w:p>
      <w:pPr>
        <w:pStyle w:val="ListBullet"/>
        <w:spacing w:after="60"/>
        <w:ind w:left="360" w:hanging="230"/>
      </w:pPr>
      <w:r>
        <w:t>Rule identifiers</w:t>
      </w:r>
    </w:p>
    <w:p>
      <w:pPr>
        <w:pStyle w:val="ListBullet"/>
        <w:spacing w:after="60"/>
        <w:ind w:left="360" w:hanging="230"/>
      </w:pPr>
      <w:r>
        <w:t>Rule versions</w:t>
      </w:r>
    </w:p>
    <w:p>
      <w:pPr>
        <w:pStyle w:val="ListBullet"/>
        <w:spacing w:after="60"/>
        <w:ind w:left="360" w:hanging="230"/>
      </w:pPr>
      <w:r>
        <w:t>Customer/policy association</w:t>
      </w:r>
    </w:p>
    <w:p>
      <w:pPr>
        <w:pStyle w:val="ListBullet"/>
        <w:spacing w:after="60"/>
        <w:ind w:left="360" w:hanging="230"/>
      </w:pPr>
      <w:r>
        <w:t>Matter-specific context</w:t>
      </w:r>
    </w:p>
    <w:p>
      <w:pPr>
        <w:pStyle w:val="ListBullet"/>
        <w:spacing w:after="60"/>
        <w:ind w:left="360" w:hanging="230"/>
      </w:pPr>
      <w:r>
        <w:t>Hard prohibition handling</w:t>
      </w:r>
    </w:p>
    <w:p>
      <w:pPr>
        <w:pStyle w:val="ListBullet"/>
        <w:spacing w:after="60"/>
        <w:ind w:left="360" w:hanging="230"/>
      </w:pPr>
      <w:r>
        <w:t>Thresholds</w:t>
      </w:r>
    </w:p>
    <w:p>
      <w:pPr>
        <w:pStyle w:val="ListBullet"/>
        <w:spacing w:after="60"/>
        <w:ind w:left="360" w:hanging="230"/>
      </w:pPr>
      <w:r>
        <w:t>Authorized exceptions</w:t>
      </w:r>
    </w:p>
    <w:p>
      <w:pPr>
        <w:pStyle w:val="ListBullet"/>
        <w:spacing w:after="60"/>
        <w:ind w:left="360" w:hanging="230"/>
      </w:pPr>
      <w:r>
        <w:t>Policy provenance</w:t>
      </w:r>
    </w:p>
    <w:p>
      <w:pPr>
        <w:pStyle w:val="ListBullet"/>
        <w:spacing w:after="60"/>
        <w:ind w:left="360" w:hanging="230"/>
      </w:pPr>
      <w:r>
        <w:t>Effective dates</w:t>
      </w:r>
    </w:p>
    <w:p>
      <w:pPr>
        <w:pStyle w:val="ListBullet"/>
        <w:spacing w:after="60"/>
        <w:ind w:left="360" w:hanging="230"/>
      </w:pPr>
      <w:r>
        <w:t>Rule testing</w:t>
      </w:r>
    </w:p>
    <w:p>
      <w:pPr>
        <w:pStyle w:val="Heading2"/>
      </w:pPr>
      <w:r>
        <w:t>17.17 BUILD NEXT — OCG Computability Study</w:t>
      </w:r>
    </w:p>
    <w:p>
      <w:pPr>
        <w:pStyle w:val="ListBullet"/>
        <w:spacing w:after="60"/>
        <w:ind w:left="360" w:hanging="230"/>
      </w:pPr>
      <w:r>
        <w:t>Deterministically computable</w:t>
      </w:r>
    </w:p>
    <w:p>
      <w:pPr>
        <w:pStyle w:val="ListBullet"/>
        <w:spacing w:after="60"/>
        <w:ind w:left="360" w:hanging="230"/>
      </w:pPr>
      <w:r>
        <w:t>Semantic</w:t>
      </w:r>
    </w:p>
    <w:p>
      <w:pPr>
        <w:pStyle w:val="ListBullet"/>
        <w:spacing w:after="60"/>
        <w:ind w:left="360" w:hanging="230"/>
      </w:pPr>
      <w:r>
        <w:t>External-information dependent</w:t>
      </w:r>
    </w:p>
    <w:p>
      <w:pPr>
        <w:pStyle w:val="ListBullet"/>
        <w:spacing w:after="60"/>
        <w:ind w:left="360" w:hanging="230"/>
      </w:pPr>
      <w:r>
        <w:t>Matter/context dependent</w:t>
      </w:r>
    </w:p>
    <w:p>
      <w:pPr>
        <w:pStyle w:val="ListBullet"/>
        <w:spacing w:after="60"/>
        <w:ind w:left="360" w:hanging="230"/>
      </w:pPr>
      <w:r>
        <w:t>Authorized-exception dependent</w:t>
      </w:r>
    </w:p>
    <w:p>
      <w:pPr>
        <w:pStyle w:val="ListBullet"/>
        <w:spacing w:after="60"/>
        <w:ind w:left="360" w:hanging="230"/>
      </w:pPr>
      <w:r>
        <w:t>Human judgment required</w:t>
      </w:r>
    </w:p>
    <w:p>
      <w:pPr>
        <w:pStyle w:val="Heading2"/>
      </w:pPr>
      <w:r>
        <w:t>17.18 BUILD NEXT — Deterministic Rule Expansion</w:t>
      </w:r>
    </w:p>
    <w:p>
      <w:pPr>
        <w:pStyle w:val="ListBullet"/>
        <w:spacing w:after="60"/>
        <w:ind w:left="360" w:hanging="230"/>
      </w:pPr>
      <w:r>
        <w:t>More robust prohibited-activity detection</w:t>
      </w:r>
    </w:p>
    <w:p>
      <w:pPr>
        <w:pStyle w:val="ListBullet"/>
        <w:spacing w:after="60"/>
        <w:ind w:left="360" w:hanging="230"/>
      </w:pPr>
      <w:r>
        <w:t>Rate checks</w:t>
      </w:r>
    </w:p>
    <w:p>
      <w:pPr>
        <w:pStyle w:val="ListBullet"/>
        <w:spacing w:after="60"/>
        <w:ind w:left="360" w:hanging="230"/>
      </w:pPr>
      <w:r>
        <w:t>Time/quantity rules</w:t>
      </w:r>
    </w:p>
    <w:p>
      <w:pPr>
        <w:pStyle w:val="ListBullet"/>
        <w:spacing w:after="60"/>
        <w:ind w:left="360" w:hanging="230"/>
      </w:pPr>
      <w:r>
        <w:t>Authorization checks</w:t>
      </w:r>
    </w:p>
    <w:p>
      <w:pPr>
        <w:pStyle w:val="ListBullet"/>
        <w:spacing w:after="60"/>
        <w:ind w:left="360" w:hanging="230"/>
      </w:pPr>
      <w:r>
        <w:t>Matter/client rules</w:t>
      </w:r>
    </w:p>
    <w:p>
      <w:pPr>
        <w:pStyle w:val="ListBullet"/>
        <w:spacing w:after="60"/>
        <w:ind w:left="360" w:hanging="230"/>
      </w:pPr>
      <w:r>
        <w:t>Billing-code checks</w:t>
      </w:r>
    </w:p>
    <w:p>
      <w:pPr>
        <w:pStyle w:val="ListBullet"/>
        <w:spacing w:after="60"/>
        <w:ind w:left="360" w:hanging="230"/>
      </w:pPr>
      <w:r>
        <w:t>Required support</w:t>
      </w:r>
    </w:p>
    <w:p>
      <w:pPr>
        <w:pStyle w:val="ListBullet"/>
        <w:spacing w:after="60"/>
        <w:ind w:left="360" w:hanging="230"/>
      </w:pPr>
      <w:r>
        <w:t>Financial thresholds</w:t>
      </w:r>
    </w:p>
    <w:p>
      <w:pPr>
        <w:pStyle w:val="ListBullet"/>
        <w:spacing w:after="60"/>
        <w:ind w:left="360" w:hanging="230"/>
      </w:pPr>
      <w:r>
        <w:t>Multiple-rule interaction</w:t>
      </w:r>
    </w:p>
    <w:p>
      <w:pPr>
        <w:pStyle w:val="ListBullet"/>
        <w:spacing w:after="60"/>
        <w:ind w:left="360" w:hanging="230"/>
      </w:pPr>
      <w:r>
        <w:t>Explicit deterministic status vocabulary</w:t>
      </w:r>
    </w:p>
    <w:p>
      <w:pPr>
        <w:pStyle w:val="ListBullet"/>
        <w:spacing w:after="60"/>
        <w:ind w:left="360" w:hanging="230"/>
      </w:pPr>
      <w:r>
        <w:t>Better reason text</w:t>
      </w:r>
    </w:p>
    <w:p>
      <w:pPr>
        <w:pStyle w:val="Heading2"/>
      </w:pPr>
      <w:r>
        <w:t>17.19 BUILD NEXT — Deterministic Status Cleanup</w:t>
      </w:r>
    </w:p>
    <w:p>
      <w:pPr>
        <w:pStyle w:val="ListBullet"/>
        <w:spacing w:after="60"/>
        <w:ind w:left="360" w:hanging="230"/>
      </w:pPr>
      <w:r>
        <w:t>Deterministically approved</w:t>
      </w:r>
    </w:p>
    <w:p>
      <w:pPr>
        <w:pStyle w:val="ListBullet"/>
        <w:spacing w:after="60"/>
        <w:ind w:left="360" w:hanging="230"/>
      </w:pPr>
      <w:r>
        <w:t>Deterministically modified</w:t>
      </w:r>
    </w:p>
    <w:p>
      <w:pPr>
        <w:pStyle w:val="ListBullet"/>
        <w:spacing w:after="60"/>
        <w:ind w:left="360" w:hanging="230"/>
      </w:pPr>
      <w:r>
        <w:t>Sent to consensus</w:t>
      </w:r>
    </w:p>
    <w:p>
      <w:pPr>
        <w:pStyle w:val="ListBullet"/>
        <w:spacing w:after="60"/>
        <w:ind w:left="360" w:hanging="230"/>
      </w:pPr>
      <w:r>
        <w:t>Consensus approved</w:t>
      </w:r>
    </w:p>
    <w:p>
      <w:pPr>
        <w:pStyle w:val="ListBullet"/>
        <w:spacing w:after="60"/>
        <w:ind w:left="360" w:hanging="230"/>
      </w:pPr>
      <w:r>
        <w:t>Consensus modified</w:t>
      </w:r>
    </w:p>
    <w:p>
      <w:pPr>
        <w:pStyle w:val="ListBullet"/>
        <w:spacing w:after="60"/>
        <w:ind w:left="360" w:hanging="230"/>
      </w:pPr>
      <w:r>
        <w:t>Rejected</w:t>
      </w:r>
    </w:p>
    <w:p>
      <w:pPr>
        <w:pStyle w:val="ListBullet"/>
        <w:spacing w:after="60"/>
        <w:ind w:left="360" w:hanging="230"/>
      </w:pPr>
      <w:r>
        <w:t>Human review</w:t>
      </w:r>
    </w:p>
    <w:p>
      <w:pPr>
        <w:pStyle w:val="ListBullet"/>
        <w:spacing w:after="60"/>
        <w:ind w:left="360" w:hanging="230"/>
      </w:pPr>
      <w:r>
        <w:t>Technical failure / controlled escalation</w:t>
      </w:r>
    </w:p>
    <w:p>
      <w:pPr>
        <w:pStyle w:val="Heading2"/>
      </w:pPr>
      <w:r>
        <w:t>17.20 BUILD NEXT — Human-Escalation Reachability</w:t>
      </w:r>
    </w:p>
    <w:p>
      <w:pPr>
        <w:pStyle w:val="ListBullet"/>
        <w:spacing w:after="60"/>
        <w:ind w:left="360" w:hanging="230"/>
      </w:pPr>
      <w:r>
        <w:t>Agent disagreement patterns</w:t>
      </w:r>
    </w:p>
    <w:p>
      <w:pPr>
        <w:pStyle w:val="ListBullet"/>
        <w:spacing w:after="60"/>
        <w:ind w:left="360" w:hanging="230"/>
      </w:pPr>
      <w:r>
        <w:t>Confidence thresholds</w:t>
      </w:r>
    </w:p>
    <w:p>
      <w:pPr>
        <w:pStyle w:val="ListBullet"/>
        <w:spacing w:after="60"/>
        <w:ind w:left="360" w:hanging="230"/>
      </w:pPr>
      <w:r>
        <w:t>Missing evidence</w:t>
      </w:r>
    </w:p>
    <w:p>
      <w:pPr>
        <w:pStyle w:val="ListBullet"/>
        <w:spacing w:after="60"/>
        <w:ind w:left="360" w:hanging="230"/>
      </w:pPr>
      <w:r>
        <w:t>Invalid structured response</w:t>
      </w:r>
    </w:p>
    <w:p>
      <w:pPr>
        <w:pStyle w:val="ListBullet"/>
        <w:spacing w:after="60"/>
        <w:ind w:left="360" w:hanging="230"/>
      </w:pPr>
      <w:r>
        <w:t>Model failure</w:t>
      </w:r>
    </w:p>
    <w:p>
      <w:pPr>
        <w:pStyle w:val="ListBullet"/>
        <w:spacing w:after="60"/>
        <w:ind w:left="360" w:hanging="230"/>
      </w:pPr>
      <w:r>
        <w:t>Policy ambiguity</w:t>
      </w:r>
    </w:p>
    <w:p>
      <w:pPr>
        <w:pStyle w:val="ListBullet"/>
        <w:spacing w:after="60"/>
        <w:ind w:left="360" w:hanging="230"/>
      </w:pPr>
      <w:r>
        <w:t>Missing customer context</w:t>
      </w:r>
    </w:p>
    <w:p>
      <w:pPr>
        <w:pStyle w:val="ListBullet"/>
        <w:spacing w:after="60"/>
        <w:ind w:left="360" w:hanging="230"/>
      </w:pPr>
      <w:r>
        <w:t>High-risk financial threshold</w:t>
      </w:r>
    </w:p>
    <w:p>
      <w:pPr>
        <w:pStyle w:val="ListBullet"/>
        <w:spacing w:after="60"/>
        <w:ind w:left="360" w:hanging="230"/>
      </w:pPr>
      <w:r>
        <w:t>Explicit rule requiring human authority</w:t>
      </w:r>
    </w:p>
    <w:p>
      <w:pPr>
        <w:pStyle w:val="Heading2"/>
      </w:pPr>
      <w:r>
        <w:t>17.21 BUILD NEXT — Consensus Structured Outputs</w:t>
      </w:r>
    </w:p>
    <w:p>
      <w:pPr>
        <w:pStyle w:val="ListBullet"/>
        <w:spacing w:after="60"/>
        <w:ind w:left="360" w:hanging="230"/>
      </w:pPr>
      <w:r>
        <w:t>Response schema</w:t>
      </w:r>
    </w:p>
    <w:p>
      <w:pPr>
        <w:pStyle w:val="ListBullet"/>
        <w:spacing w:after="60"/>
        <w:ind w:left="360" w:hanging="230"/>
      </w:pPr>
      <w:r>
        <w:t>Runtime validation</w:t>
      </w:r>
    </w:p>
    <w:p>
      <w:pPr>
        <w:pStyle w:val="ListBullet"/>
        <w:spacing w:after="60"/>
        <w:ind w:left="360" w:hanging="230"/>
      </w:pPr>
      <w:r>
        <w:t>Invalid-response handling</w:t>
      </w:r>
    </w:p>
    <w:p>
      <w:pPr>
        <w:pStyle w:val="ListBullet"/>
        <w:spacing w:after="60"/>
        <w:ind w:left="360" w:hanging="230"/>
      </w:pPr>
      <w:r>
        <w:t>Enum validation</w:t>
      </w:r>
    </w:p>
    <w:p>
      <w:pPr>
        <w:pStyle w:val="ListBullet"/>
        <w:spacing w:after="60"/>
        <w:ind w:left="360" w:hanging="230"/>
      </w:pPr>
      <w:r>
        <w:t>Required fields</w:t>
      </w:r>
    </w:p>
    <w:p>
      <w:pPr>
        <w:pStyle w:val="ListBullet"/>
        <w:spacing w:after="60"/>
        <w:ind w:left="360" w:hanging="230"/>
      </w:pPr>
      <w:r>
        <w:t>Confidence format</w:t>
      </w:r>
    </w:p>
    <w:p>
      <w:pPr>
        <w:pStyle w:val="ListBullet"/>
        <w:spacing w:after="60"/>
        <w:ind w:left="360" w:hanging="230"/>
      </w:pPr>
      <w:r>
        <w:t>Agent identity</w:t>
      </w:r>
    </w:p>
    <w:p>
      <w:pPr>
        <w:pStyle w:val="ListBullet"/>
        <w:spacing w:after="60"/>
        <w:ind w:left="360" w:hanging="230"/>
      </w:pPr>
      <w:r>
        <w:t>Error capture</w:t>
      </w:r>
    </w:p>
    <w:p>
      <w:pPr>
        <w:pStyle w:val="Heading2"/>
      </w:pPr>
      <w:r>
        <w:t>17.22 BUILD NEXT — Consensus Architecture Evolution</w:t>
      </w:r>
    </w:p>
    <w:p>
      <w:pPr>
        <w:pStyle w:val="ListBullet"/>
        <w:spacing w:after="60"/>
        <w:ind w:left="360" w:hanging="230"/>
      </w:pPr>
      <w:r>
        <w:t>Exact model composition</w:t>
      </w:r>
    </w:p>
    <w:p>
      <w:pPr>
        <w:pStyle w:val="ListBullet"/>
        <w:spacing w:after="60"/>
        <w:ind w:left="360" w:hanging="230"/>
      </w:pPr>
      <w:r>
        <w:t>Agent differentiation</w:t>
      </w:r>
    </w:p>
    <w:p>
      <w:pPr>
        <w:pStyle w:val="ListBullet"/>
        <w:spacing w:after="60"/>
        <w:ind w:left="360" w:hanging="230"/>
      </w:pPr>
      <w:r>
        <w:t>Round independence</w:t>
      </w:r>
    </w:p>
    <w:p>
      <w:pPr>
        <w:pStyle w:val="ListBullet"/>
        <w:spacing w:after="60"/>
        <w:ind w:left="360" w:hanging="230"/>
      </w:pPr>
      <w:r>
        <w:t>Prompt/version control</w:t>
      </w:r>
    </w:p>
    <w:p>
      <w:pPr>
        <w:pStyle w:val="ListBullet"/>
        <w:spacing w:after="60"/>
        <w:ind w:left="360" w:hanging="230"/>
      </w:pPr>
      <w:r>
        <w:t>Vote persistence</w:t>
      </w:r>
    </w:p>
    <w:p>
      <w:pPr>
        <w:pStyle w:val="ListBullet"/>
        <w:spacing w:after="60"/>
        <w:ind w:left="360" w:hanging="230"/>
      </w:pPr>
      <w:r>
        <w:t>Round-level aggregation</w:t>
      </w:r>
    </w:p>
    <w:p>
      <w:pPr>
        <w:pStyle w:val="ListBullet"/>
        <w:spacing w:after="60"/>
        <w:ind w:left="360" w:hanging="230"/>
      </w:pPr>
      <w:r>
        <w:t>Final referee behavior</w:t>
      </w:r>
    </w:p>
    <w:p>
      <w:pPr>
        <w:pStyle w:val="ListBullet"/>
        <w:spacing w:after="60"/>
        <w:ind w:left="360" w:hanging="230"/>
      </w:pPr>
      <w:r>
        <w:t>Cost</w:t>
      </w:r>
    </w:p>
    <w:p>
      <w:pPr>
        <w:pStyle w:val="ListBullet"/>
        <w:spacing w:after="60"/>
        <w:ind w:left="360" w:hanging="230"/>
      </w:pPr>
      <w:r>
        <w:t>Latency</w:t>
      </w:r>
    </w:p>
    <w:p>
      <w:pPr>
        <w:pStyle w:val="ListBullet"/>
        <w:spacing w:after="60"/>
        <w:ind w:left="360" w:hanging="230"/>
      </w:pPr>
      <w:r>
        <w:t>Human escalation</w:t>
      </w:r>
    </w:p>
    <w:p>
      <w:pPr>
        <w:pStyle w:val="ListBullet"/>
        <w:spacing w:after="60"/>
        <w:ind w:left="360" w:hanging="230"/>
      </w:pPr>
      <w:r>
        <w:t>Evidence usefulness</w:t>
      </w:r>
    </w:p>
    <w:p>
      <w:pPr>
        <w:pStyle w:val="Heading2"/>
      </w:pPr>
      <w:r>
        <w:t>17.23 BUILD NEXT — Consensus Validation Dataset</w:t>
      </w:r>
    </w:p>
    <w:p>
      <w:pPr>
        <w:pStyle w:val="ListBullet"/>
        <w:spacing w:after="60"/>
        <w:ind w:left="360" w:hanging="230"/>
      </w:pPr>
      <w:r>
        <w:t>Known compliant entries</w:t>
      </w:r>
    </w:p>
    <w:p>
      <w:pPr>
        <w:pStyle w:val="ListBullet"/>
        <w:spacing w:after="60"/>
        <w:ind w:left="360" w:hanging="230"/>
      </w:pPr>
      <w:r>
        <w:t>Administrative violations</w:t>
      </w:r>
    </w:p>
    <w:p>
      <w:pPr>
        <w:pStyle w:val="ListBullet"/>
        <w:spacing w:after="60"/>
        <w:ind w:left="360" w:hanging="230"/>
      </w:pPr>
      <w:r>
        <w:t>Vague narratives</w:t>
      </w:r>
    </w:p>
    <w:p>
      <w:pPr>
        <w:pStyle w:val="ListBullet"/>
        <w:spacing w:after="60"/>
        <w:ind w:left="360" w:hanging="230"/>
      </w:pPr>
      <w:r>
        <w:t>Block billing</w:t>
      </w:r>
    </w:p>
    <w:p>
      <w:pPr>
        <w:pStyle w:val="ListBullet"/>
        <w:spacing w:after="60"/>
        <w:ind w:left="360" w:hanging="230"/>
      </w:pPr>
      <w:r>
        <w:t>Mixed billable/non-billable narratives</w:t>
      </w:r>
    </w:p>
    <w:p>
      <w:pPr>
        <w:pStyle w:val="ListBullet"/>
        <w:spacing w:after="60"/>
        <w:ind w:left="360" w:hanging="230"/>
      </w:pPr>
      <w:r>
        <w:t>Rate issues</w:t>
      </w:r>
    </w:p>
    <w:p>
      <w:pPr>
        <w:pStyle w:val="ListBullet"/>
        <w:spacing w:after="60"/>
        <w:ind w:left="360" w:hanging="230"/>
      </w:pPr>
      <w:r>
        <w:t>Matter-specific exceptions</w:t>
      </w:r>
    </w:p>
    <w:p>
      <w:pPr>
        <w:pStyle w:val="ListBullet"/>
        <w:spacing w:after="60"/>
        <w:ind w:left="360" w:hanging="230"/>
      </w:pPr>
      <w:r>
        <w:t>Ambiguous cases</w:t>
      </w:r>
    </w:p>
    <w:p>
      <w:pPr>
        <w:pStyle w:val="ListBullet"/>
        <w:spacing w:after="60"/>
        <w:ind w:left="360" w:hanging="230"/>
      </w:pPr>
      <w:r>
        <w:t>Human-required cases</w:t>
      </w:r>
    </w:p>
    <w:p>
      <w:pPr>
        <w:pStyle w:val="ListBullet"/>
        <w:spacing w:after="60"/>
        <w:ind w:left="360" w:hanging="230"/>
      </w:pPr>
      <w:r>
        <w:t>Edge cases</w:t>
      </w:r>
    </w:p>
    <w:p>
      <w:pPr>
        <w:pStyle w:val="Heading2"/>
      </w:pPr>
      <w:r>
        <w:t>17.24 BUILD NEXT — Human Review Experience</w:t>
      </w:r>
    </w:p>
    <w:p>
      <w:pPr>
        <w:pStyle w:val="ListBullet"/>
        <w:spacing w:after="60"/>
        <w:ind w:left="360" w:hanging="230"/>
      </w:pPr>
      <w:r>
        <w:t>Evidence hierarchy</w:t>
      </w:r>
    </w:p>
    <w:p>
      <w:pPr>
        <w:pStyle w:val="ListBullet"/>
        <w:spacing w:after="60"/>
        <w:ind w:left="360" w:hanging="230"/>
      </w:pPr>
      <w:r>
        <w:t>Original information</w:t>
      </w:r>
    </w:p>
    <w:p>
      <w:pPr>
        <w:pStyle w:val="ListBullet"/>
        <w:spacing w:after="60"/>
        <w:ind w:left="360" w:hanging="230"/>
      </w:pPr>
      <w:r>
        <w:t>Deterministic findings</w:t>
      </w:r>
    </w:p>
    <w:p>
      <w:pPr>
        <w:pStyle w:val="ListBullet"/>
        <w:spacing w:after="60"/>
        <w:ind w:left="360" w:hanging="230"/>
      </w:pPr>
      <w:r>
        <w:t>Consensus results</w:t>
      </w:r>
    </w:p>
    <w:p>
      <w:pPr>
        <w:pStyle w:val="ListBullet"/>
        <w:spacing w:after="60"/>
        <w:ind w:left="360" w:hanging="230"/>
      </w:pPr>
      <w:r>
        <w:t>Reviewer actions</w:t>
      </w:r>
    </w:p>
    <w:p>
      <w:pPr>
        <w:pStyle w:val="ListBullet"/>
        <w:spacing w:after="60"/>
        <w:ind w:left="360" w:hanging="230"/>
      </w:pPr>
      <w:r>
        <w:t>Disposition capture</w:t>
      </w:r>
    </w:p>
    <w:p>
      <w:pPr>
        <w:pStyle w:val="ListBullet"/>
        <w:spacing w:after="60"/>
        <w:ind w:left="360" w:hanging="230"/>
      </w:pPr>
      <w:r>
        <w:t>Return to billing workflow</w:t>
      </w:r>
    </w:p>
    <w:p>
      <w:pPr>
        <w:pStyle w:val="Heading2"/>
      </w:pPr>
      <w:r>
        <w:t>17.25 BUILD NEXT — Audit Receipt Expansion</w:t>
      </w:r>
    </w:p>
    <w:p>
      <w:pPr>
        <w:pStyle w:val="ListBullet"/>
        <w:spacing w:after="60"/>
        <w:ind w:left="360" w:hanging="230"/>
      </w:pPr>
      <w:r>
        <w:t>Rule IDs</w:t>
      </w:r>
    </w:p>
    <w:p>
      <w:pPr>
        <w:pStyle w:val="ListBullet"/>
        <w:spacing w:after="60"/>
        <w:ind w:left="360" w:hanging="230"/>
      </w:pPr>
      <w:r>
        <w:t>Rule version</w:t>
      </w:r>
    </w:p>
    <w:p>
      <w:pPr>
        <w:pStyle w:val="ListBullet"/>
        <w:spacing w:after="60"/>
        <w:ind w:left="360" w:hanging="230"/>
      </w:pPr>
      <w:r>
        <w:t>Rule reason</w:t>
      </w:r>
    </w:p>
    <w:p>
      <w:pPr>
        <w:pStyle w:val="ListBullet"/>
        <w:spacing w:after="60"/>
        <w:ind w:left="360" w:hanging="230"/>
      </w:pPr>
      <w:r>
        <w:t>Original narrative</w:t>
      </w:r>
    </w:p>
    <w:p>
      <w:pPr>
        <w:pStyle w:val="ListBullet"/>
        <w:spacing w:after="60"/>
        <w:ind w:left="360" w:hanging="230"/>
      </w:pPr>
      <w:r>
        <w:t>Sanitized narrative</w:t>
      </w:r>
    </w:p>
    <w:p>
      <w:pPr>
        <w:pStyle w:val="ListBullet"/>
        <w:spacing w:after="60"/>
        <w:ind w:left="360" w:hanging="230"/>
      </w:pPr>
      <w:r>
        <w:t>Consensus attempted state</w:t>
      </w:r>
    </w:p>
    <w:p>
      <w:pPr>
        <w:pStyle w:val="ListBullet"/>
        <w:spacing w:after="60"/>
        <w:ind w:left="360" w:hanging="230"/>
      </w:pPr>
      <w:r>
        <w:t>Agent identity</w:t>
      </w:r>
    </w:p>
    <w:p>
      <w:pPr>
        <w:pStyle w:val="ListBullet"/>
        <w:spacing w:after="60"/>
        <w:ind w:left="360" w:hanging="230"/>
      </w:pPr>
      <w:r>
        <w:t>Agent votes</w:t>
      </w:r>
    </w:p>
    <w:p>
      <w:pPr>
        <w:pStyle w:val="ListBullet"/>
        <w:spacing w:after="60"/>
        <w:ind w:left="360" w:hanging="230"/>
      </w:pPr>
      <w:r>
        <w:t>Confidence</w:t>
      </w:r>
    </w:p>
    <w:p>
      <w:pPr>
        <w:pStyle w:val="ListBullet"/>
        <w:spacing w:after="60"/>
        <w:ind w:left="360" w:hanging="230"/>
      </w:pPr>
      <w:r>
        <w:t>Agent reasoning</w:t>
      </w:r>
    </w:p>
    <w:p>
      <w:pPr>
        <w:pStyle w:val="ListBullet"/>
        <w:spacing w:after="60"/>
        <w:ind w:left="360" w:hanging="230"/>
      </w:pPr>
      <w:r>
        <w:t>Errors</w:t>
      </w:r>
    </w:p>
    <w:p>
      <w:pPr>
        <w:pStyle w:val="ListBullet"/>
        <w:spacing w:after="60"/>
        <w:ind w:left="360" w:hanging="230"/>
      </w:pPr>
      <w:r>
        <w:t>Referee result</w:t>
      </w:r>
    </w:p>
    <w:p>
      <w:pPr>
        <w:pStyle w:val="ListBullet"/>
        <w:spacing w:after="60"/>
        <w:ind w:left="360" w:hanging="230"/>
      </w:pPr>
      <w:r>
        <w:t>Human-review reason</w:t>
      </w:r>
    </w:p>
    <w:p>
      <w:pPr>
        <w:pStyle w:val="ListBullet"/>
        <w:spacing w:after="60"/>
        <w:ind w:left="360" w:hanging="230"/>
      </w:pPr>
      <w:r>
        <w:t>Human disposition</w:t>
      </w:r>
    </w:p>
    <w:p>
      <w:pPr>
        <w:pStyle w:val="ListBullet"/>
        <w:spacing w:after="60"/>
        <w:ind w:left="360" w:hanging="230"/>
      </w:pPr>
      <w:r>
        <w:t>Correlation identifier</w:t>
      </w:r>
    </w:p>
    <w:p>
      <w:pPr>
        <w:pStyle w:val="ListBullet"/>
        <w:spacing w:after="60"/>
        <w:ind w:left="360" w:hanging="230"/>
      </w:pPr>
      <w:r>
        <w:t>Timestamps</w:t>
      </w:r>
    </w:p>
    <w:p>
      <w:pPr>
        <w:pStyle w:val="ListBullet"/>
        <w:spacing w:after="60"/>
        <w:ind w:left="360" w:hanging="230"/>
      </w:pPr>
      <w:r>
        <w:t>Policy provenance</w:t>
      </w:r>
    </w:p>
    <w:p>
      <w:pPr>
        <w:pStyle w:val="Heading2"/>
      </w:pPr>
      <w:r>
        <w:t>17.26 BUILD NEXT — Reconstruct-and-Split Logic</w:t>
      </w:r>
    </w:p>
    <w:p>
      <w:pPr>
        <w:pStyle w:val="ListBullet"/>
        <w:spacing w:after="60"/>
        <w:ind w:left="360" w:hanging="230"/>
      </w:pPr>
      <w:r>
        <w:t>Split definition</w:t>
      </w:r>
    </w:p>
    <w:p>
      <w:pPr>
        <w:pStyle w:val="ListBullet"/>
        <w:spacing w:after="60"/>
        <w:ind w:left="360" w:hanging="230"/>
      </w:pPr>
      <w:r>
        <w:t>Number of resulting lines</w:t>
      </w:r>
    </w:p>
    <w:p>
      <w:pPr>
        <w:pStyle w:val="ListBullet"/>
        <w:spacing w:after="60"/>
        <w:ind w:left="360" w:hanging="230"/>
      </w:pPr>
      <w:r>
        <w:t>Hours allocation</w:t>
      </w:r>
    </w:p>
    <w:p>
      <w:pPr>
        <w:pStyle w:val="ListBullet"/>
        <w:spacing w:after="60"/>
        <w:ind w:left="360" w:hanging="230"/>
      </w:pPr>
      <w:r>
        <w:t>Financial allocation</w:t>
      </w:r>
    </w:p>
    <w:p>
      <w:pPr>
        <w:pStyle w:val="ListBullet"/>
        <w:spacing w:after="60"/>
        <w:ind w:left="360" w:hanging="230"/>
      </w:pPr>
      <w:r>
        <w:t>Narrative reconstruction</w:t>
      </w:r>
    </w:p>
    <w:p>
      <w:pPr>
        <w:pStyle w:val="ListBullet"/>
        <w:spacing w:after="60"/>
        <w:ind w:left="360" w:hanging="230"/>
      </w:pPr>
      <w:r>
        <w:t>Source-line relationship</w:t>
      </w:r>
    </w:p>
    <w:p>
      <w:pPr>
        <w:pStyle w:val="ListBullet"/>
        <w:spacing w:after="60"/>
        <w:ind w:left="360" w:hanging="230"/>
      </w:pPr>
      <w:r>
        <w:t>Human approval requirement</w:t>
      </w:r>
    </w:p>
    <w:p>
      <w:pPr>
        <w:pStyle w:val="ListBullet"/>
        <w:spacing w:after="60"/>
        <w:ind w:left="360" w:hanging="230"/>
      </w:pPr>
      <w:r>
        <w:t>Audit history</w:t>
      </w:r>
    </w:p>
    <w:p>
      <w:pPr>
        <w:pStyle w:val="Heading2"/>
      </w:pPr>
      <w:r>
        <w:t>17.27 BUILD NEXT — Consensus-Failure Visibility</w:t>
      </w:r>
    </w:p>
    <w:p>
      <w:pPr>
        <w:pStyle w:val="ListBullet"/>
        <w:spacing w:after="60"/>
        <w:ind w:left="360" w:hanging="230"/>
      </w:pPr>
      <w:r>
        <w:t>Consensus required</w:t>
      </w:r>
    </w:p>
    <w:p>
      <w:pPr>
        <w:pStyle w:val="ListBullet"/>
        <w:spacing w:after="60"/>
        <w:ind w:left="360" w:hanging="230"/>
      </w:pPr>
      <w:r>
        <w:t>Consensus attempted</w:t>
      </w:r>
    </w:p>
    <w:p>
      <w:pPr>
        <w:pStyle w:val="ListBullet"/>
        <w:spacing w:after="60"/>
        <w:ind w:left="360" w:hanging="230"/>
      </w:pPr>
      <w:r>
        <w:t>Consensus failed</w:t>
      </w:r>
    </w:p>
    <w:p>
      <w:pPr>
        <w:pStyle w:val="ListBullet"/>
        <w:spacing w:after="60"/>
        <w:ind w:left="360" w:hanging="230"/>
      </w:pPr>
      <w:r>
        <w:t>Error class</w:t>
      </w:r>
    </w:p>
    <w:p>
      <w:pPr>
        <w:pStyle w:val="ListBullet"/>
        <w:spacing w:after="60"/>
        <w:ind w:left="360" w:hanging="230"/>
      </w:pPr>
      <w:r>
        <w:t>Deterministic fallback preserved</w:t>
      </w:r>
    </w:p>
    <w:p>
      <w:pPr>
        <w:pStyle w:val="ListBullet"/>
        <w:spacing w:after="60"/>
        <w:ind w:left="360" w:hanging="230"/>
      </w:pPr>
      <w:r>
        <w:t>Human escalation triggered</w:t>
      </w:r>
    </w:p>
    <w:p>
      <w:pPr>
        <w:pStyle w:val="Heading2"/>
      </w:pPr>
      <w:r>
        <w:t>17.28 BUILD NEXT — Customer Evidence Database</w:t>
      </w:r>
    </w:p>
    <w:p>
      <w:pPr>
        <w:pStyle w:val="ListBullet"/>
        <w:spacing w:after="60"/>
        <w:ind w:left="360" w:hanging="230"/>
      </w:pPr>
      <w:r>
        <w:t>Demo usage</w:t>
      </w:r>
    </w:p>
    <w:p>
      <w:pPr>
        <w:pStyle w:val="ListBullet"/>
        <w:spacing w:after="60"/>
        <w:ind w:left="360" w:hanging="230"/>
      </w:pPr>
      <w:r>
        <w:t>Waitlist</w:t>
      </w:r>
    </w:p>
    <w:p>
      <w:pPr>
        <w:pStyle w:val="ListBullet"/>
        <w:spacing w:after="60"/>
        <w:ind w:left="360" w:hanging="230"/>
      </w:pPr>
      <w:r>
        <w:t>Contacts</w:t>
      </w:r>
    </w:p>
    <w:p>
      <w:pPr>
        <w:pStyle w:val="ListBullet"/>
        <w:spacing w:after="60"/>
        <w:ind w:left="360" w:hanging="230"/>
      </w:pPr>
      <w:r>
        <w:t>Feedback</w:t>
      </w:r>
    </w:p>
    <w:p>
      <w:pPr>
        <w:pStyle w:val="ListBullet"/>
        <w:spacing w:after="60"/>
        <w:ind w:left="360" w:hanging="230"/>
      </w:pPr>
      <w:r>
        <w:t>Reviews</w:t>
      </w:r>
    </w:p>
    <w:p>
      <w:pPr>
        <w:pStyle w:val="ListBullet"/>
        <w:spacing w:after="60"/>
        <w:ind w:left="360" w:hanging="230"/>
      </w:pPr>
      <w:r>
        <w:t>Consent</w:t>
      </w:r>
    </w:p>
    <w:p>
      <w:pPr>
        <w:pStyle w:val="ListBullet"/>
        <w:spacing w:after="60"/>
        <w:ind w:left="360" w:hanging="230"/>
      </w:pPr>
      <w:r>
        <w:t>Follow-up status</w:t>
      </w:r>
    </w:p>
    <w:p>
      <w:pPr>
        <w:pStyle w:val="ListBullet"/>
        <w:spacing w:after="60"/>
        <w:ind w:left="360" w:hanging="230"/>
      </w:pPr>
      <w:r>
        <w:t>Evaluator type</w:t>
      </w:r>
    </w:p>
    <w:p>
      <w:pPr>
        <w:pStyle w:val="ListBullet"/>
        <w:spacing w:after="60"/>
        <w:ind w:left="360" w:hanging="230"/>
      </w:pPr>
      <w:r>
        <w:t>Organization</w:t>
      </w:r>
    </w:p>
    <w:p>
      <w:pPr>
        <w:pStyle w:val="ListBullet"/>
        <w:spacing w:after="60"/>
        <w:ind w:left="360" w:hanging="230"/>
      </w:pPr>
      <w:r>
        <w:t>Design-partner interest</w:t>
      </w:r>
    </w:p>
    <w:p>
      <w:pPr>
        <w:pStyle w:val="Heading2"/>
      </w:pPr>
      <w:r>
        <w:t>17.29 BUILD NEXT — Usage Instrumentation</w:t>
      </w:r>
    </w:p>
    <w:p>
      <w:pPr>
        <w:pStyle w:val="ListBullet"/>
        <w:spacing w:after="60"/>
        <w:ind w:left="360" w:hanging="230"/>
      </w:pPr>
      <w:r>
        <w:t>Demo started</w:t>
      </w:r>
    </w:p>
    <w:p>
      <w:pPr>
        <w:pStyle w:val="ListBullet"/>
        <w:spacing w:after="60"/>
        <w:ind w:left="360" w:hanging="230"/>
      </w:pPr>
      <w:r>
        <w:t>File selected</w:t>
      </w:r>
    </w:p>
    <w:p>
      <w:pPr>
        <w:pStyle w:val="ListBullet"/>
        <w:spacing w:after="60"/>
        <w:ind w:left="360" w:hanging="230"/>
      </w:pPr>
      <w:r>
        <w:t>Processing completed</w:t>
      </w:r>
    </w:p>
    <w:p>
      <w:pPr>
        <w:pStyle w:val="ListBullet"/>
        <w:spacing w:after="60"/>
        <w:ind w:left="360" w:hanging="230"/>
      </w:pPr>
      <w:r>
        <w:t>Result viewed</w:t>
      </w:r>
    </w:p>
    <w:p>
      <w:pPr>
        <w:pStyle w:val="ListBullet"/>
        <w:spacing w:after="60"/>
        <w:ind w:left="360" w:hanging="230"/>
      </w:pPr>
      <w:r>
        <w:t>Output downloaded</w:t>
      </w:r>
    </w:p>
    <w:p>
      <w:pPr>
        <w:pStyle w:val="ListBullet"/>
        <w:spacing w:after="60"/>
        <w:ind w:left="360" w:hanging="230"/>
      </w:pPr>
      <w:r>
        <w:t>Feedback submitted</w:t>
      </w:r>
    </w:p>
    <w:p>
      <w:pPr>
        <w:pStyle w:val="ListBullet"/>
        <w:spacing w:after="60"/>
        <w:ind w:left="360" w:hanging="230"/>
      </w:pPr>
      <w:r>
        <w:t>Waitlist joined</w:t>
      </w:r>
    </w:p>
    <w:p>
      <w:pPr>
        <w:pStyle w:val="ListBullet"/>
        <w:spacing w:after="60"/>
        <w:ind w:left="360" w:hanging="230"/>
      </w:pPr>
      <w:r>
        <w:t>Error encountered</w:t>
      </w:r>
    </w:p>
    <w:p>
      <w:pPr>
        <w:pStyle w:val="Heading2"/>
      </w:pPr>
      <w:r>
        <w:t>17.30 BUILD NEXT — Documentation Completion</w:t>
      </w:r>
    </w:p>
    <w:p>
      <w:pPr>
        <w:pStyle w:val="ListBullet"/>
        <w:spacing w:after="60"/>
        <w:ind w:left="360" w:hanging="230"/>
      </w:pPr>
      <w:r>
        <w:t>Human Review &amp; Authority</w:t>
      </w:r>
    </w:p>
    <w:p>
      <w:pPr>
        <w:pStyle w:val="ListBullet"/>
        <w:spacing w:after="60"/>
        <w:ind w:left="360" w:hanging="230"/>
      </w:pPr>
      <w:r>
        <w:t>Audit Evidence Chain</w:t>
      </w:r>
    </w:p>
    <w:p>
      <w:pPr>
        <w:pStyle w:val="ListBullet"/>
        <w:spacing w:after="60"/>
        <w:ind w:left="360" w:hanging="230"/>
      </w:pPr>
      <w:r>
        <w:t>OCG / Policy Lifecycle</w:t>
      </w:r>
    </w:p>
    <w:p>
      <w:pPr>
        <w:pStyle w:val="ListBullet"/>
        <w:spacing w:after="60"/>
        <w:ind w:left="360" w:hanging="230"/>
      </w:pPr>
      <w:r>
        <w:t>Input Normalization / LEDES</w:t>
      </w:r>
    </w:p>
    <w:p>
      <w:pPr>
        <w:pStyle w:val="ListBullet"/>
        <w:spacing w:after="60"/>
        <w:ind w:left="360" w:hanging="230"/>
      </w:pPr>
      <w:r>
        <w:t>Customer Deployment Model</w:t>
      </w:r>
    </w:p>
    <w:p>
      <w:pPr>
        <w:pStyle w:val="ListBullet"/>
        <w:spacing w:after="60"/>
        <w:ind w:left="360" w:hanging="230"/>
      </w:pPr>
      <w:r>
        <w:t>Customer Responsibility Model</w:t>
      </w:r>
    </w:p>
    <w:p>
      <w:pPr>
        <w:pStyle w:val="ListBullet"/>
        <w:spacing w:after="60"/>
        <w:ind w:left="360" w:hanging="230"/>
      </w:pPr>
      <w:r>
        <w:t>Commercial Deployment Guide</w:t>
      </w:r>
    </w:p>
    <w:p>
      <w:pPr>
        <w:pStyle w:val="Heading2"/>
      </w:pPr>
      <w:r>
        <w:t>17.31 PRODUCTION — Application Runtime</w:t>
      </w:r>
    </w:p>
    <w:p>
      <w:pPr>
        <w:pStyle w:val="ListBullet"/>
        <w:spacing w:after="60"/>
        <w:ind w:left="360" w:hanging="230"/>
      </w:pPr>
      <w:r>
        <w:t>Application deployment</w:t>
      </w:r>
    </w:p>
    <w:p>
      <w:pPr>
        <w:pStyle w:val="ListBullet"/>
        <w:spacing w:after="60"/>
        <w:ind w:left="360" w:hanging="230"/>
      </w:pPr>
      <w:r>
        <w:t>Network integration</w:t>
      </w:r>
    </w:p>
    <w:p>
      <w:pPr>
        <w:pStyle w:val="ListBullet"/>
        <w:spacing w:after="60"/>
        <w:ind w:left="360" w:hanging="230"/>
      </w:pPr>
      <w:r>
        <w:t>Managed identity</w:t>
      </w:r>
    </w:p>
    <w:p>
      <w:pPr>
        <w:pStyle w:val="ListBullet"/>
        <w:spacing w:after="60"/>
        <w:ind w:left="360" w:hanging="230"/>
      </w:pPr>
      <w:r>
        <w:t>Configuration</w:t>
      </w:r>
    </w:p>
    <w:p>
      <w:pPr>
        <w:pStyle w:val="ListBullet"/>
        <w:spacing w:after="60"/>
        <w:ind w:left="360" w:hanging="230"/>
      </w:pPr>
      <w:r>
        <w:t>Scaling</w:t>
      </w:r>
    </w:p>
    <w:p>
      <w:pPr>
        <w:pStyle w:val="ListBullet"/>
        <w:spacing w:after="60"/>
        <w:ind w:left="360" w:hanging="230"/>
      </w:pPr>
      <w:r>
        <w:t>Health checks</w:t>
      </w:r>
    </w:p>
    <w:p>
      <w:pPr>
        <w:pStyle w:val="ListBullet"/>
        <w:spacing w:after="60"/>
        <w:ind w:left="360" w:hanging="230"/>
      </w:pPr>
      <w:r>
        <w:t>Logging</w:t>
      </w:r>
    </w:p>
    <w:p>
      <w:pPr>
        <w:pStyle w:val="ListBullet"/>
        <w:spacing w:after="60"/>
        <w:ind w:left="360" w:hanging="230"/>
      </w:pPr>
      <w:r>
        <w:t>Deployment versioning</w:t>
      </w:r>
    </w:p>
    <w:p>
      <w:pPr>
        <w:pStyle w:val="ListBullet"/>
        <w:spacing w:after="60"/>
        <w:ind w:left="360" w:hanging="230"/>
      </w:pPr>
      <w:r>
        <w:t>Recovery</w:t>
      </w:r>
    </w:p>
    <w:p>
      <w:pPr>
        <w:pStyle w:val="Heading2"/>
      </w:pPr>
      <w:r>
        <w:t>17.32 PRODUCTION — Private Endpoints and DNS</w:t>
      </w:r>
    </w:p>
    <w:p>
      <w:pPr>
        <w:pStyle w:val="ListBullet"/>
        <w:spacing w:after="60"/>
        <w:ind w:left="360" w:hanging="230"/>
      </w:pPr>
      <w:r>
        <w:t>Azure OpenAI</w:t>
      </w:r>
    </w:p>
    <w:p>
      <w:pPr>
        <w:pStyle w:val="ListBullet"/>
        <w:spacing w:after="60"/>
        <w:ind w:left="360" w:hanging="230"/>
      </w:pPr>
      <w:r>
        <w:t>Cosmos DB</w:t>
      </w:r>
    </w:p>
    <w:p>
      <w:pPr>
        <w:pStyle w:val="ListBullet"/>
        <w:spacing w:after="60"/>
        <w:ind w:left="360" w:hanging="230"/>
      </w:pPr>
      <w:r>
        <w:t>Key Vault</w:t>
      </w:r>
    </w:p>
    <w:p>
      <w:pPr>
        <w:pStyle w:val="ListBullet"/>
        <w:spacing w:after="60"/>
        <w:ind w:left="360" w:hanging="230"/>
      </w:pPr>
      <w:r>
        <w:t>Approved private access works.</w:t>
      </w:r>
    </w:p>
    <w:p>
      <w:pPr>
        <w:pStyle w:val="ListBullet"/>
        <w:spacing w:after="60"/>
        <w:ind w:left="360" w:hanging="230"/>
      </w:pPr>
      <w:r>
        <w:t>Unintended public access fails.</w:t>
      </w:r>
    </w:p>
    <w:p>
      <w:pPr>
        <w:pStyle w:val="ListBullet"/>
        <w:spacing w:after="60"/>
        <w:ind w:left="360" w:hanging="230"/>
      </w:pPr>
      <w:r>
        <w:t>Name resolution is correct.</w:t>
      </w:r>
    </w:p>
    <w:p>
      <w:pPr>
        <w:pStyle w:val="ListBullet"/>
        <w:spacing w:after="60"/>
        <w:ind w:left="360" w:hanging="230"/>
      </w:pPr>
      <w:r>
        <w:t>Application connectivity is stable.</w:t>
      </w:r>
    </w:p>
    <w:p>
      <w:pPr>
        <w:pStyle w:val="Heading2"/>
      </w:pPr>
      <w:r>
        <w:t>17.33 PRODUCTION — Managed Identity and RBAC</w:t>
      </w:r>
    </w:p>
    <w:p>
      <w:pPr>
        <w:pStyle w:val="ListBullet"/>
        <w:spacing w:after="60"/>
        <w:ind w:left="360" w:hanging="230"/>
      </w:pPr>
      <w:r>
        <w:t>Application managed identity</w:t>
      </w:r>
    </w:p>
    <w:p>
      <w:pPr>
        <w:pStyle w:val="ListBullet"/>
        <w:spacing w:after="60"/>
        <w:ind w:left="360" w:hanging="230"/>
      </w:pPr>
      <w:r>
        <w:t>Deployment identity</w:t>
      </w:r>
    </w:p>
    <w:p>
      <w:pPr>
        <w:pStyle w:val="ListBullet"/>
        <w:spacing w:after="60"/>
        <w:ind w:left="360" w:hanging="230"/>
      </w:pPr>
      <w:r>
        <w:t>Service permissions</w:t>
      </w:r>
    </w:p>
    <w:p>
      <w:pPr>
        <w:pStyle w:val="ListBullet"/>
        <w:spacing w:after="60"/>
        <w:ind w:left="360" w:hanging="230"/>
      </w:pPr>
      <w:r>
        <w:t>Human administrative roles</w:t>
      </w:r>
    </w:p>
    <w:p>
      <w:pPr>
        <w:pStyle w:val="ListBullet"/>
        <w:spacing w:after="60"/>
        <w:ind w:left="360" w:hanging="230"/>
      </w:pPr>
      <w:r>
        <w:t>Reviewer roles</w:t>
      </w:r>
    </w:p>
    <w:p>
      <w:pPr>
        <w:pStyle w:val="ListBullet"/>
        <w:spacing w:after="60"/>
        <w:ind w:left="360" w:hanging="230"/>
      </w:pPr>
      <w:r>
        <w:t>Key Vault access</w:t>
      </w:r>
    </w:p>
    <w:p>
      <w:pPr>
        <w:pStyle w:val="ListBullet"/>
        <w:spacing w:after="60"/>
        <w:ind w:left="360" w:hanging="230"/>
      </w:pPr>
      <w:r>
        <w:t>Cosmos DB access</w:t>
      </w:r>
    </w:p>
    <w:p>
      <w:pPr>
        <w:pStyle w:val="ListBullet"/>
        <w:spacing w:after="60"/>
        <w:ind w:left="360" w:hanging="230"/>
      </w:pPr>
      <w:r>
        <w:t>Azure OpenAI access</w:t>
      </w:r>
    </w:p>
    <w:p>
      <w:pPr>
        <w:pStyle w:val="ListBullet"/>
        <w:spacing w:after="60"/>
        <w:ind w:left="360" w:hanging="230"/>
      </w:pPr>
      <w:r>
        <w:t>Separation of duties</w:t>
      </w:r>
    </w:p>
    <w:p>
      <w:pPr>
        <w:pStyle w:val="Heading2"/>
      </w:pPr>
      <w:r>
        <w:t>17.34 PRODUCTION — Key Vault Hardening</w:t>
      </w:r>
    </w:p>
    <w:p>
      <w:pPr>
        <w:pStyle w:val="ListBullet"/>
        <w:spacing w:after="60"/>
        <w:ind w:left="360" w:hanging="230"/>
      </w:pPr>
      <w:r>
        <w:t>Final authorization model</w:t>
      </w:r>
    </w:p>
    <w:p>
      <w:pPr>
        <w:pStyle w:val="ListBullet"/>
        <w:spacing w:after="60"/>
        <w:ind w:left="360" w:hanging="230"/>
      </w:pPr>
      <w:r>
        <w:t>Managed-identity access</w:t>
      </w:r>
    </w:p>
    <w:p>
      <w:pPr>
        <w:pStyle w:val="ListBullet"/>
        <w:spacing w:after="60"/>
        <w:ind w:left="360" w:hanging="230"/>
      </w:pPr>
      <w:r>
        <w:t>Network restrictions</w:t>
      </w:r>
    </w:p>
    <w:p>
      <w:pPr>
        <w:pStyle w:val="ListBullet"/>
        <w:spacing w:after="60"/>
        <w:ind w:left="360" w:hanging="230"/>
      </w:pPr>
      <w:r>
        <w:t>Private connectivity</w:t>
      </w:r>
    </w:p>
    <w:p>
      <w:pPr>
        <w:pStyle w:val="ListBullet"/>
        <w:spacing w:after="60"/>
        <w:ind w:left="360" w:hanging="230"/>
      </w:pPr>
      <w:r>
        <w:t>Retention settings</w:t>
      </w:r>
    </w:p>
    <w:p>
      <w:pPr>
        <w:pStyle w:val="ListBullet"/>
        <w:spacing w:after="60"/>
        <w:ind w:left="360" w:hanging="230"/>
      </w:pPr>
      <w:r>
        <w:t>Purge-protection decision</w:t>
      </w:r>
    </w:p>
    <w:p>
      <w:pPr>
        <w:pStyle w:val="ListBullet"/>
        <w:spacing w:after="60"/>
        <w:ind w:left="360" w:hanging="230"/>
      </w:pPr>
      <w:r>
        <w:t>Rotation procedures</w:t>
      </w:r>
    </w:p>
    <w:p>
      <w:pPr>
        <w:pStyle w:val="ListBullet"/>
        <w:spacing w:after="60"/>
        <w:ind w:left="360" w:hanging="230"/>
      </w:pPr>
      <w:r>
        <w:t>Diagnostic logging</w:t>
      </w:r>
    </w:p>
    <w:p>
      <w:pPr>
        <w:pStyle w:val="Heading2"/>
      </w:pPr>
      <w:r>
        <w:t>17.35 PRODUCTION — Cosmos DB Data Architecture</w:t>
      </w:r>
    </w:p>
    <w:p>
      <w:pPr>
        <w:pStyle w:val="ListBullet"/>
        <w:spacing w:after="60"/>
        <w:ind w:left="360" w:hanging="230"/>
      </w:pPr>
      <w:r>
        <w:t>Database</w:t>
      </w:r>
    </w:p>
    <w:p>
      <w:pPr>
        <w:pStyle w:val="ListBullet"/>
        <w:spacing w:after="60"/>
        <w:ind w:left="360" w:hanging="230"/>
      </w:pPr>
      <w:r>
        <w:t>Containers</w:t>
      </w:r>
    </w:p>
    <w:p>
      <w:pPr>
        <w:pStyle w:val="ListBullet"/>
        <w:spacing w:after="60"/>
        <w:ind w:left="360" w:hanging="230"/>
      </w:pPr>
      <w:r>
        <w:t>Partition key</w:t>
      </w:r>
    </w:p>
    <w:p>
      <w:pPr>
        <w:pStyle w:val="ListBullet"/>
        <w:spacing w:after="60"/>
        <w:ind w:left="360" w:hanging="230"/>
      </w:pPr>
      <w:r>
        <w:t>Transaction schema</w:t>
      </w:r>
    </w:p>
    <w:p>
      <w:pPr>
        <w:pStyle w:val="ListBullet"/>
        <w:spacing w:after="60"/>
        <w:ind w:left="360" w:hanging="230"/>
      </w:pPr>
      <w:r>
        <w:t>Audit schema</w:t>
      </w:r>
    </w:p>
    <w:p>
      <w:pPr>
        <w:pStyle w:val="ListBullet"/>
        <w:spacing w:after="60"/>
        <w:ind w:left="360" w:hanging="230"/>
      </w:pPr>
      <w:r>
        <w:t>Indexing</w:t>
      </w:r>
    </w:p>
    <w:p>
      <w:pPr>
        <w:pStyle w:val="ListBullet"/>
        <w:spacing w:after="60"/>
        <w:ind w:left="360" w:hanging="230"/>
      </w:pPr>
      <w:r>
        <w:t>Consistency decision</w:t>
      </w:r>
    </w:p>
    <w:p>
      <w:pPr>
        <w:pStyle w:val="ListBullet"/>
        <w:spacing w:after="60"/>
        <w:ind w:left="360" w:hanging="230"/>
      </w:pPr>
      <w:r>
        <w:t>Backup</w:t>
      </w:r>
    </w:p>
    <w:p>
      <w:pPr>
        <w:pStyle w:val="ListBullet"/>
        <w:spacing w:after="60"/>
        <w:ind w:left="360" w:hanging="230"/>
      </w:pPr>
      <w:r>
        <w:t>Recovery</w:t>
      </w:r>
    </w:p>
    <w:p>
      <w:pPr>
        <w:pStyle w:val="ListBullet"/>
        <w:spacing w:after="60"/>
        <w:ind w:left="360" w:hanging="230"/>
      </w:pPr>
      <w:r>
        <w:t>Retention</w:t>
      </w:r>
    </w:p>
    <w:p>
      <w:pPr>
        <w:pStyle w:val="ListBullet"/>
        <w:spacing w:after="60"/>
        <w:ind w:left="360" w:hanging="230"/>
      </w:pPr>
      <w:r>
        <w:t>Authorization</w:t>
      </w:r>
    </w:p>
    <w:p>
      <w:pPr>
        <w:pStyle w:val="ListBullet"/>
        <w:spacing w:after="60"/>
        <w:ind w:left="360" w:hanging="230"/>
      </w:pPr>
      <w:r>
        <w:t>Private connectivity</w:t>
      </w:r>
    </w:p>
    <w:p>
      <w:pPr>
        <w:pStyle w:val="ListBullet"/>
        <w:spacing w:after="60"/>
        <w:ind w:left="360" w:hanging="230"/>
      </w:pPr>
      <w:r>
        <w:t>Diagnostics</w:t>
      </w:r>
    </w:p>
    <w:p>
      <w:pPr>
        <w:pStyle w:val="Heading2"/>
      </w:pPr>
      <w:r>
        <w:t>17.36 PRODUCTION — Azure OpenAI Model Deployment</w:t>
      </w:r>
    </w:p>
    <w:p>
      <w:pPr>
        <w:pStyle w:val="ListBullet"/>
        <w:spacing w:after="60"/>
        <w:ind w:left="360" w:hanging="230"/>
      </w:pPr>
      <w:r>
        <w:t>Model selection</w:t>
      </w:r>
    </w:p>
    <w:p>
      <w:pPr>
        <w:pStyle w:val="ListBullet"/>
        <w:spacing w:after="60"/>
        <w:ind w:left="360" w:hanging="230"/>
      </w:pPr>
      <w:r>
        <w:t>Deployment</w:t>
      </w:r>
    </w:p>
    <w:p>
      <w:pPr>
        <w:pStyle w:val="ListBullet"/>
        <w:spacing w:after="60"/>
        <w:ind w:left="360" w:hanging="230"/>
      </w:pPr>
      <w:r>
        <w:t>Versioning</w:t>
      </w:r>
    </w:p>
    <w:p>
      <w:pPr>
        <w:pStyle w:val="ListBullet"/>
        <w:spacing w:after="60"/>
        <w:ind w:left="360" w:hanging="230"/>
      </w:pPr>
      <w:r>
        <w:t>Quotas</w:t>
      </w:r>
    </w:p>
    <w:p>
      <w:pPr>
        <w:pStyle w:val="ListBullet"/>
        <w:spacing w:after="60"/>
        <w:ind w:left="360" w:hanging="230"/>
      </w:pPr>
      <w:r>
        <w:t>Authentication</w:t>
      </w:r>
    </w:p>
    <w:p>
      <w:pPr>
        <w:pStyle w:val="ListBullet"/>
        <w:spacing w:after="60"/>
        <w:ind w:left="360" w:hanging="230"/>
      </w:pPr>
      <w:r>
        <w:t>Private connectivity</w:t>
      </w:r>
    </w:p>
    <w:p>
      <w:pPr>
        <w:pStyle w:val="ListBullet"/>
        <w:spacing w:after="60"/>
        <w:ind w:left="360" w:hanging="230"/>
      </w:pPr>
      <w:r>
        <w:t>Content-control decisions</w:t>
      </w:r>
    </w:p>
    <w:p>
      <w:pPr>
        <w:pStyle w:val="ListBullet"/>
        <w:spacing w:after="60"/>
        <w:ind w:left="360" w:hanging="230"/>
      </w:pPr>
      <w:r>
        <w:t>Logging</w:t>
      </w:r>
    </w:p>
    <w:p>
      <w:pPr>
        <w:pStyle w:val="ListBullet"/>
        <w:spacing w:after="60"/>
        <w:ind w:left="360" w:hanging="230"/>
      </w:pPr>
      <w:r>
        <w:t>Resilience</w:t>
      </w:r>
    </w:p>
    <w:p>
      <w:pPr>
        <w:pStyle w:val="ListBullet"/>
        <w:spacing w:after="60"/>
        <w:ind w:left="360" w:hanging="230"/>
      </w:pPr>
      <w:r>
        <w:t>Cost monitoring</w:t>
      </w:r>
    </w:p>
    <w:p>
      <w:pPr>
        <w:pStyle w:val="ListBullet"/>
        <w:spacing w:after="60"/>
        <w:ind w:left="360" w:hanging="230"/>
      </w:pPr>
      <w:r>
        <w:t>Upgrade process</w:t>
      </w:r>
    </w:p>
    <w:p>
      <w:pPr>
        <w:pStyle w:val="Heading2"/>
      </w:pPr>
      <w:r>
        <w:t>17.37 PRODUCTION — Service Bus / Messaging</w:t>
      </w:r>
    </w:p>
    <w:p>
      <w:pPr>
        <w:pStyle w:val="ListBullet"/>
        <w:spacing w:after="60"/>
        <w:ind w:left="360" w:hanging="230"/>
      </w:pPr>
      <w:r>
        <w:t>Service Bus deployment</w:t>
      </w:r>
    </w:p>
    <w:p>
      <w:pPr>
        <w:pStyle w:val="ListBullet"/>
        <w:spacing w:after="60"/>
        <w:ind w:left="360" w:hanging="230"/>
      </w:pPr>
      <w:r>
        <w:t>Queue/topic design</w:t>
      </w:r>
    </w:p>
    <w:p>
      <w:pPr>
        <w:pStyle w:val="ListBullet"/>
        <w:spacing w:after="60"/>
        <w:ind w:left="360" w:hanging="230"/>
      </w:pPr>
      <w:r>
        <w:t>Retry</w:t>
      </w:r>
    </w:p>
    <w:p>
      <w:pPr>
        <w:pStyle w:val="ListBullet"/>
        <w:spacing w:after="60"/>
        <w:ind w:left="360" w:hanging="230"/>
      </w:pPr>
      <w:r>
        <w:t>Dead-letter handling</w:t>
      </w:r>
    </w:p>
    <w:p>
      <w:pPr>
        <w:pStyle w:val="ListBullet"/>
        <w:spacing w:after="60"/>
        <w:ind w:left="360" w:hanging="230"/>
      </w:pPr>
      <w:r>
        <w:t>Transaction correlation</w:t>
      </w:r>
    </w:p>
    <w:p>
      <w:pPr>
        <w:pStyle w:val="ListBullet"/>
        <w:spacing w:after="60"/>
        <w:ind w:left="360" w:hanging="230"/>
      </w:pPr>
      <w:r>
        <w:t>Access control</w:t>
      </w:r>
    </w:p>
    <w:p>
      <w:pPr>
        <w:pStyle w:val="ListBullet"/>
        <w:spacing w:after="60"/>
        <w:ind w:left="360" w:hanging="230"/>
      </w:pPr>
      <w:r>
        <w:t>Monitoring</w:t>
      </w:r>
    </w:p>
    <w:p>
      <w:pPr>
        <w:pStyle w:val="ListBullet"/>
        <w:spacing w:after="60"/>
        <w:ind w:left="360" w:hanging="230"/>
      </w:pPr>
      <w:r>
        <w:t>Idempotency</w:t>
      </w:r>
    </w:p>
    <w:p>
      <w:pPr>
        <w:pStyle w:val="ListBullet"/>
        <w:spacing w:after="60"/>
        <w:ind w:left="360" w:hanging="230"/>
      </w:pPr>
      <w:r>
        <w:t>Recovery</w:t>
      </w:r>
    </w:p>
    <w:p>
      <w:pPr>
        <w:pStyle w:val="Heading2"/>
      </w:pPr>
      <w:r>
        <w:t>17.38 PRODUCTION — Observability</w:t>
      </w:r>
    </w:p>
    <w:p>
      <w:pPr>
        <w:pStyle w:val="ListBullet"/>
        <w:spacing w:after="60"/>
        <w:ind w:left="360" w:hanging="230"/>
      </w:pPr>
      <w:r>
        <w:t>Diagnostic settings</w:t>
      </w:r>
    </w:p>
    <w:p>
      <w:pPr>
        <w:pStyle w:val="ListBullet"/>
        <w:spacing w:after="60"/>
        <w:ind w:left="360" w:hanging="230"/>
      </w:pPr>
      <w:r>
        <w:t>Azure Monitor</w:t>
      </w:r>
    </w:p>
    <w:p>
      <w:pPr>
        <w:pStyle w:val="ListBullet"/>
        <w:spacing w:after="60"/>
        <w:ind w:left="360" w:hanging="230"/>
      </w:pPr>
      <w:r>
        <w:t>Log Analytics</w:t>
      </w:r>
    </w:p>
    <w:p>
      <w:pPr>
        <w:pStyle w:val="ListBullet"/>
        <w:spacing w:after="60"/>
        <w:ind w:left="360" w:hanging="230"/>
      </w:pPr>
      <w:r>
        <w:t>Application telemetry</w:t>
      </w:r>
    </w:p>
    <w:p>
      <w:pPr>
        <w:pStyle w:val="ListBullet"/>
        <w:spacing w:after="60"/>
        <w:ind w:left="360" w:hanging="230"/>
      </w:pPr>
      <w:r>
        <w:t>Alerts</w:t>
      </w:r>
    </w:p>
    <w:p>
      <w:pPr>
        <w:pStyle w:val="ListBullet"/>
        <w:spacing w:after="60"/>
        <w:ind w:left="360" w:hanging="230"/>
      </w:pPr>
      <w:r>
        <w:t>Latency</w:t>
      </w:r>
    </w:p>
    <w:p>
      <w:pPr>
        <w:pStyle w:val="ListBullet"/>
        <w:spacing w:after="60"/>
        <w:ind w:left="360" w:hanging="230"/>
      </w:pPr>
      <w:r>
        <w:t>Failure rate</w:t>
      </w:r>
    </w:p>
    <w:p>
      <w:pPr>
        <w:pStyle w:val="ListBullet"/>
        <w:spacing w:after="60"/>
        <w:ind w:left="360" w:hanging="230"/>
      </w:pPr>
      <w:r>
        <w:t>Access events</w:t>
      </w:r>
    </w:p>
    <w:p>
      <w:pPr>
        <w:pStyle w:val="ListBullet"/>
        <w:spacing w:after="60"/>
        <w:ind w:left="360" w:hanging="230"/>
      </w:pPr>
      <w:r>
        <w:t>Security events</w:t>
      </w:r>
    </w:p>
    <w:p>
      <w:pPr>
        <w:pStyle w:val="ListBullet"/>
        <w:spacing w:after="60"/>
        <w:ind w:left="360" w:hanging="230"/>
      </w:pPr>
      <w:r>
        <w:t>Deployment events</w:t>
      </w:r>
    </w:p>
    <w:p>
      <w:pPr>
        <w:pStyle w:val="ListBullet"/>
        <w:spacing w:after="60"/>
        <w:ind w:left="360" w:hanging="230"/>
      </w:pPr>
      <w:r>
        <w:t>Model behavior</w:t>
      </w:r>
    </w:p>
    <w:p>
      <w:pPr>
        <w:pStyle w:val="ListBullet"/>
        <w:spacing w:after="60"/>
        <w:ind w:left="360" w:hanging="230"/>
      </w:pPr>
      <w:r>
        <w:t>Correlation IDs</w:t>
      </w:r>
    </w:p>
    <w:p>
      <w:pPr>
        <w:pStyle w:val="Heading2"/>
      </w:pPr>
      <w:r>
        <w:t>17.39 PRODUCTION — Environment Separation</w:t>
      </w:r>
    </w:p>
    <w:p>
      <w:pPr>
        <w:pStyle w:val="ListBullet"/>
        <w:spacing w:after="60"/>
        <w:ind w:left="360" w:hanging="230"/>
      </w:pPr>
      <w:r>
        <w:t>Development</w:t>
      </w:r>
    </w:p>
    <w:p>
      <w:pPr>
        <w:pStyle w:val="ListBullet"/>
        <w:spacing w:after="60"/>
        <w:ind w:left="360" w:hanging="230"/>
      </w:pPr>
      <w:r>
        <w:t>Test</w:t>
      </w:r>
    </w:p>
    <w:p>
      <w:pPr>
        <w:pStyle w:val="ListBullet"/>
        <w:spacing w:after="60"/>
        <w:ind w:left="360" w:hanging="230"/>
      </w:pPr>
      <w:r>
        <w:t>Pilot</w:t>
      </w:r>
    </w:p>
    <w:p>
      <w:pPr>
        <w:pStyle w:val="ListBullet"/>
        <w:spacing w:after="60"/>
        <w:ind w:left="360" w:hanging="230"/>
      </w:pPr>
      <w:r>
        <w:t>Production</w:t>
      </w:r>
    </w:p>
    <w:p>
      <w:pPr>
        <w:pStyle w:val="ListBullet"/>
        <w:spacing w:after="60"/>
        <w:ind w:left="360" w:hanging="230"/>
      </w:pPr>
      <w:r>
        <w:t>Parameterized infrastructure</w:t>
      </w:r>
    </w:p>
    <w:p>
      <w:pPr>
        <w:pStyle w:val="ListBullet"/>
        <w:spacing w:after="60"/>
        <w:ind w:left="360" w:hanging="230"/>
      </w:pPr>
      <w:r>
        <w:t>Separate configuration</w:t>
      </w:r>
    </w:p>
    <w:p>
      <w:pPr>
        <w:pStyle w:val="ListBullet"/>
        <w:spacing w:after="60"/>
        <w:ind w:left="360" w:hanging="230"/>
      </w:pPr>
      <w:r>
        <w:t>Access boundaries</w:t>
      </w:r>
    </w:p>
    <w:p>
      <w:pPr>
        <w:pStyle w:val="ListBullet"/>
        <w:spacing w:after="60"/>
        <w:ind w:left="360" w:hanging="230"/>
      </w:pPr>
      <w:r>
        <w:t>Deployment approval</w:t>
      </w:r>
    </w:p>
    <w:p>
      <w:pPr>
        <w:pStyle w:val="ListBullet"/>
        <w:spacing w:after="60"/>
        <w:ind w:left="360" w:hanging="230"/>
      </w:pPr>
      <w:r>
        <w:t>Test-data separation</w:t>
      </w:r>
    </w:p>
    <w:p>
      <w:pPr>
        <w:pStyle w:val="ListBullet"/>
        <w:spacing w:after="60"/>
        <w:ind w:left="360" w:hanging="230"/>
      </w:pPr>
      <w:r>
        <w:t>Production-data separation</w:t>
      </w:r>
    </w:p>
    <w:p>
      <w:pPr>
        <w:pStyle w:val="Heading2"/>
      </w:pPr>
      <w:r>
        <w:t>17.40 PRODUCTION — CI/CD and Change Control</w:t>
      </w:r>
    </w:p>
    <w:p>
      <w:pPr>
        <w:pStyle w:val="ListBullet"/>
        <w:spacing w:after="60"/>
        <w:ind w:left="360" w:hanging="230"/>
      </w:pPr>
      <w:r>
        <w:t>Build process</w:t>
      </w:r>
    </w:p>
    <w:p>
      <w:pPr>
        <w:pStyle w:val="ListBullet"/>
        <w:spacing w:after="60"/>
        <w:ind w:left="360" w:hanging="230"/>
      </w:pPr>
      <w:r>
        <w:t>Deployment process</w:t>
      </w:r>
    </w:p>
    <w:p>
      <w:pPr>
        <w:pStyle w:val="ListBullet"/>
        <w:spacing w:after="60"/>
        <w:ind w:left="360" w:hanging="230"/>
      </w:pPr>
      <w:r>
        <w:t>Infrastructure validation</w:t>
      </w:r>
    </w:p>
    <w:p>
      <w:pPr>
        <w:pStyle w:val="ListBullet"/>
        <w:spacing w:after="60"/>
        <w:ind w:left="360" w:hanging="230"/>
      </w:pPr>
      <w:r>
        <w:t>Application tests</w:t>
      </w:r>
    </w:p>
    <w:p>
      <w:pPr>
        <w:pStyle w:val="ListBullet"/>
        <w:spacing w:after="60"/>
        <w:ind w:left="360" w:hanging="230"/>
      </w:pPr>
      <w:r>
        <w:t>Approval gates</w:t>
      </w:r>
    </w:p>
    <w:p>
      <w:pPr>
        <w:pStyle w:val="ListBullet"/>
        <w:spacing w:after="60"/>
        <w:ind w:left="360" w:hanging="230"/>
      </w:pPr>
      <w:r>
        <w:t>Release version</w:t>
      </w:r>
    </w:p>
    <w:p>
      <w:pPr>
        <w:pStyle w:val="ListBullet"/>
        <w:spacing w:after="60"/>
        <w:ind w:left="360" w:hanging="230"/>
      </w:pPr>
      <w:r>
        <w:t>Rollback strategy</w:t>
      </w:r>
    </w:p>
    <w:p>
      <w:pPr>
        <w:pStyle w:val="ListBullet"/>
        <w:spacing w:after="60"/>
        <w:ind w:left="360" w:hanging="230"/>
      </w:pPr>
      <w:r>
        <w:t>Evidence retention</w:t>
      </w:r>
    </w:p>
    <w:p>
      <w:pPr>
        <w:pStyle w:val="Heading2"/>
      </w:pPr>
      <w:r>
        <w:t>17.41 PRODUCTION — Security Validation</w:t>
      </w:r>
    </w:p>
    <w:p>
      <w:pPr>
        <w:pStyle w:val="ListBullet"/>
        <w:spacing w:after="60"/>
        <w:ind w:left="360" w:hanging="230"/>
      </w:pPr>
      <w:r>
        <w:t>Private connectivity</w:t>
      </w:r>
    </w:p>
    <w:p>
      <w:pPr>
        <w:pStyle w:val="ListBullet"/>
        <w:spacing w:after="60"/>
        <w:ind w:left="360" w:hanging="230"/>
      </w:pPr>
      <w:r>
        <w:t>Denied public access</w:t>
      </w:r>
    </w:p>
    <w:p>
      <w:pPr>
        <w:pStyle w:val="ListBullet"/>
        <w:spacing w:after="60"/>
        <w:ind w:left="360" w:hanging="230"/>
      </w:pPr>
      <w:r>
        <w:t>RBAC</w:t>
      </w:r>
    </w:p>
    <w:p>
      <w:pPr>
        <w:pStyle w:val="ListBullet"/>
        <w:spacing w:after="60"/>
        <w:ind w:left="360" w:hanging="230"/>
      </w:pPr>
      <w:r>
        <w:t>Unauthorized-access tests</w:t>
      </w:r>
    </w:p>
    <w:p>
      <w:pPr>
        <w:pStyle w:val="ListBullet"/>
        <w:spacing w:after="60"/>
        <w:ind w:left="360" w:hanging="230"/>
      </w:pPr>
      <w:r>
        <w:t>Secret access</w:t>
      </w:r>
    </w:p>
    <w:p>
      <w:pPr>
        <w:pStyle w:val="ListBullet"/>
        <w:spacing w:after="60"/>
        <w:ind w:left="360" w:hanging="230"/>
      </w:pPr>
      <w:r>
        <w:t>Cosmos authorization</w:t>
      </w:r>
    </w:p>
    <w:p>
      <w:pPr>
        <w:pStyle w:val="ListBullet"/>
        <w:spacing w:after="60"/>
        <w:ind w:left="360" w:hanging="230"/>
      </w:pPr>
      <w:r>
        <w:t>Model authorization</w:t>
      </w:r>
    </w:p>
    <w:p>
      <w:pPr>
        <w:pStyle w:val="ListBullet"/>
        <w:spacing w:after="60"/>
        <w:ind w:left="360" w:hanging="230"/>
      </w:pPr>
      <w:r>
        <w:t>Network behavior</w:t>
      </w:r>
    </w:p>
    <w:p>
      <w:pPr>
        <w:pStyle w:val="ListBullet"/>
        <w:spacing w:after="60"/>
        <w:ind w:left="360" w:hanging="230"/>
      </w:pPr>
      <w:r>
        <w:t>Logging</w:t>
      </w:r>
    </w:p>
    <w:p>
      <w:pPr>
        <w:pStyle w:val="ListBullet"/>
        <w:spacing w:after="60"/>
        <w:ind w:left="360" w:hanging="230"/>
      </w:pPr>
      <w:r>
        <w:t>Environment boundaries</w:t>
      </w:r>
    </w:p>
    <w:p>
      <w:pPr>
        <w:pStyle w:val="Heading2"/>
      </w:pPr>
      <w:r>
        <w:t>17.42 PRODUCTION — Recovery</w:t>
      </w:r>
    </w:p>
    <w:p>
      <w:pPr>
        <w:pStyle w:val="ListBullet"/>
        <w:spacing w:after="60"/>
        <w:ind w:left="360" w:hanging="230"/>
      </w:pPr>
      <w:r>
        <w:t>Application outage</w:t>
      </w:r>
    </w:p>
    <w:p>
      <w:pPr>
        <w:pStyle w:val="ListBullet"/>
        <w:spacing w:after="60"/>
        <w:ind w:left="360" w:hanging="230"/>
      </w:pPr>
      <w:r>
        <w:t>Azure OpenAI outage</w:t>
      </w:r>
    </w:p>
    <w:p>
      <w:pPr>
        <w:pStyle w:val="ListBullet"/>
        <w:spacing w:after="60"/>
        <w:ind w:left="360" w:hanging="230"/>
      </w:pPr>
      <w:r>
        <w:t>Cosmos DB issue</w:t>
      </w:r>
    </w:p>
    <w:p>
      <w:pPr>
        <w:pStyle w:val="ListBullet"/>
        <w:spacing w:after="60"/>
        <w:ind w:left="360" w:hanging="230"/>
      </w:pPr>
      <w:r>
        <w:t>Service Bus issue</w:t>
      </w:r>
    </w:p>
    <w:p>
      <w:pPr>
        <w:pStyle w:val="ListBullet"/>
        <w:spacing w:after="60"/>
        <w:ind w:left="360" w:hanging="230"/>
      </w:pPr>
      <w:r>
        <w:t>Key Vault issue</w:t>
      </w:r>
    </w:p>
    <w:p>
      <w:pPr>
        <w:pStyle w:val="ListBullet"/>
        <w:spacing w:after="60"/>
        <w:ind w:left="360" w:hanging="230"/>
      </w:pPr>
      <w:r>
        <w:t>Network failure</w:t>
      </w:r>
    </w:p>
    <w:p>
      <w:pPr>
        <w:pStyle w:val="ListBullet"/>
        <w:spacing w:after="60"/>
        <w:ind w:left="360" w:hanging="230"/>
      </w:pPr>
      <w:r>
        <w:t>Deployment failure</w:t>
      </w:r>
    </w:p>
    <w:p>
      <w:pPr>
        <w:pStyle w:val="ListBullet"/>
        <w:spacing w:after="60"/>
        <w:ind w:left="360" w:hanging="230"/>
      </w:pPr>
      <w:r>
        <w:t>Partial transaction</w:t>
      </w:r>
    </w:p>
    <w:p>
      <w:pPr>
        <w:pStyle w:val="ListBullet"/>
        <w:spacing w:after="60"/>
        <w:ind w:left="360" w:hanging="230"/>
      </w:pPr>
      <w:r>
        <w:t>Human-review continuation</w:t>
      </w:r>
    </w:p>
    <w:p>
      <w:pPr>
        <w:pStyle w:val="ListBullet"/>
        <w:spacing w:after="60"/>
        <w:ind w:left="360" w:hanging="230"/>
      </w:pPr>
      <w:r>
        <w:t>Audit record</w:t>
      </w:r>
    </w:p>
    <w:p>
      <w:pPr>
        <w:pStyle w:val="Heading2"/>
      </w:pPr>
      <w:r>
        <w:t>17.43 PRODUCTION — Retention</w:t>
      </w:r>
    </w:p>
    <w:p>
      <w:pPr>
        <w:pStyle w:val="ListBullet"/>
        <w:spacing w:after="60"/>
        <w:ind w:left="360" w:hanging="230"/>
      </w:pPr>
      <w:r>
        <w:t>Original billing transaction</w:t>
      </w:r>
    </w:p>
    <w:p>
      <w:pPr>
        <w:pStyle w:val="ListBullet"/>
        <w:spacing w:after="60"/>
        <w:ind w:left="360" w:hanging="230"/>
      </w:pPr>
      <w:r>
        <w:t>Processing record</w:t>
      </w:r>
    </w:p>
    <w:p>
      <w:pPr>
        <w:pStyle w:val="ListBullet"/>
        <w:spacing w:after="60"/>
        <w:ind w:left="360" w:hanging="230"/>
      </w:pPr>
      <w:r>
        <w:t>Agent output</w:t>
      </w:r>
    </w:p>
    <w:p>
      <w:pPr>
        <w:pStyle w:val="ListBullet"/>
        <w:spacing w:after="60"/>
        <w:ind w:left="360" w:hanging="230"/>
      </w:pPr>
      <w:r>
        <w:t>Audit evidence</w:t>
      </w:r>
    </w:p>
    <w:p>
      <w:pPr>
        <w:pStyle w:val="ListBullet"/>
        <w:spacing w:after="60"/>
        <w:ind w:left="360" w:hanging="230"/>
      </w:pPr>
      <w:r>
        <w:t>Human disposition</w:t>
      </w:r>
    </w:p>
    <w:p>
      <w:pPr>
        <w:pStyle w:val="ListBullet"/>
        <w:spacing w:after="60"/>
        <w:ind w:left="360" w:hanging="230"/>
      </w:pPr>
      <w:r>
        <w:t>Logs</w:t>
      </w:r>
    </w:p>
    <w:p>
      <w:pPr>
        <w:pStyle w:val="ListBullet"/>
        <w:spacing w:after="60"/>
        <w:ind w:left="360" w:hanging="230"/>
      </w:pPr>
      <w:r>
        <w:t>Security events</w:t>
      </w:r>
    </w:p>
    <w:p>
      <w:pPr>
        <w:pStyle w:val="ListBullet"/>
        <w:spacing w:after="60"/>
        <w:ind w:left="360" w:hanging="230"/>
      </w:pPr>
      <w:r>
        <w:t>Backups</w:t>
      </w:r>
    </w:p>
    <w:p>
      <w:pPr>
        <w:pStyle w:val="ListBullet"/>
        <w:spacing w:after="60"/>
        <w:ind w:left="360" w:hanging="230"/>
      </w:pPr>
      <w:r>
        <w:t>Test evidence</w:t>
      </w:r>
    </w:p>
    <w:p>
      <w:pPr>
        <w:pStyle w:val="Heading2"/>
      </w:pPr>
      <w:r>
        <w:t>17.44 PRODUCTION — Customer Deployment Package</w:t>
      </w:r>
    </w:p>
    <w:p>
      <w:pPr>
        <w:pStyle w:val="ListBullet"/>
        <w:spacing w:after="60"/>
        <w:ind w:left="360" w:hanging="230"/>
      </w:pPr>
      <w:r>
        <w:t>Product package</w:t>
      </w:r>
    </w:p>
    <w:p>
      <w:pPr>
        <w:pStyle w:val="ListBullet"/>
        <w:spacing w:after="60"/>
        <w:ind w:left="360" w:hanging="230"/>
      </w:pPr>
      <w:r>
        <w:t>Infrastructure definitions</w:t>
      </w:r>
    </w:p>
    <w:p>
      <w:pPr>
        <w:pStyle w:val="ListBullet"/>
        <w:spacing w:after="60"/>
        <w:ind w:left="360" w:hanging="230"/>
      </w:pPr>
      <w:r>
        <w:t>Deployment guide</w:t>
      </w:r>
    </w:p>
    <w:p>
      <w:pPr>
        <w:pStyle w:val="ListBullet"/>
        <w:spacing w:after="60"/>
        <w:ind w:left="360" w:hanging="230"/>
      </w:pPr>
      <w:r>
        <w:t>Prerequisites</w:t>
      </w:r>
    </w:p>
    <w:p>
      <w:pPr>
        <w:pStyle w:val="ListBullet"/>
        <w:spacing w:after="60"/>
        <w:ind w:left="360" w:hanging="230"/>
      </w:pPr>
      <w:r>
        <w:t>Configuration</w:t>
      </w:r>
    </w:p>
    <w:p>
      <w:pPr>
        <w:pStyle w:val="ListBullet"/>
        <w:spacing w:after="60"/>
        <w:ind w:left="360" w:hanging="230"/>
      </w:pPr>
      <w:r>
        <w:t>Identity matrix</w:t>
      </w:r>
    </w:p>
    <w:p>
      <w:pPr>
        <w:pStyle w:val="ListBullet"/>
        <w:spacing w:after="60"/>
        <w:ind w:left="360" w:hanging="230"/>
      </w:pPr>
      <w:r>
        <w:t>Network requirements</w:t>
      </w:r>
    </w:p>
    <w:p>
      <w:pPr>
        <w:pStyle w:val="ListBullet"/>
        <w:spacing w:after="60"/>
        <w:ind w:left="360" w:hanging="230"/>
      </w:pPr>
      <w:r>
        <w:t>OCG/policy setup</w:t>
      </w:r>
    </w:p>
    <w:p>
      <w:pPr>
        <w:pStyle w:val="ListBullet"/>
        <w:spacing w:after="60"/>
        <w:ind w:left="360" w:hanging="230"/>
      </w:pPr>
      <w:r>
        <w:t>Validation tooling</w:t>
      </w:r>
    </w:p>
    <w:p>
      <w:pPr>
        <w:pStyle w:val="ListBullet"/>
        <w:spacing w:after="60"/>
        <w:ind w:left="360" w:hanging="230"/>
      </w:pPr>
      <w:r>
        <w:t>Responsibility matrix</w:t>
      </w:r>
    </w:p>
    <w:p>
      <w:pPr>
        <w:pStyle w:val="ListBullet"/>
        <w:spacing w:after="60"/>
        <w:ind w:left="360" w:hanging="230"/>
      </w:pPr>
      <w:r>
        <w:t>Support documentation</w:t>
      </w:r>
    </w:p>
    <w:p>
      <w:pPr>
        <w:pStyle w:val="ListBullet"/>
        <w:spacing w:after="60"/>
        <w:ind w:left="360" w:hanging="230"/>
      </w:pPr>
      <w:r>
        <w:t>Upgrade process</w:t>
      </w:r>
    </w:p>
    <w:p>
      <w:pPr>
        <w:pStyle w:val="ListBullet"/>
        <w:spacing w:after="60"/>
        <w:ind w:left="360" w:hanging="230"/>
      </w:pPr>
      <w:r>
        <w:t>Recovery guidance</w:t>
      </w:r>
    </w:p>
    <w:p>
      <w:pPr>
        <w:pStyle w:val="Heading2"/>
      </w:pPr>
      <w:r>
        <w:t>17.45 PRODUCTION — Commercial Support</w:t>
      </w:r>
    </w:p>
    <w:p>
      <w:pPr>
        <w:pStyle w:val="ListBullet"/>
        <w:spacing w:after="60"/>
        <w:ind w:left="360" w:hanging="230"/>
      </w:pPr>
      <w:r>
        <w:t>Support channels</w:t>
      </w:r>
    </w:p>
    <w:p>
      <w:pPr>
        <w:pStyle w:val="ListBullet"/>
        <w:spacing w:after="60"/>
        <w:ind w:left="360" w:hanging="230"/>
      </w:pPr>
      <w:r>
        <w:t>Severity definitions</w:t>
      </w:r>
    </w:p>
    <w:p>
      <w:pPr>
        <w:pStyle w:val="ListBullet"/>
        <w:spacing w:after="60"/>
        <w:ind w:left="360" w:hanging="230"/>
      </w:pPr>
      <w:r>
        <w:t>Response expectations</w:t>
      </w:r>
    </w:p>
    <w:p>
      <w:pPr>
        <w:pStyle w:val="ListBullet"/>
        <w:spacing w:after="60"/>
        <w:ind w:left="360" w:hanging="230"/>
      </w:pPr>
      <w:r>
        <w:t>Azure responsibility boundary</w:t>
      </w:r>
    </w:p>
    <w:p>
      <w:pPr>
        <w:pStyle w:val="ListBullet"/>
        <w:spacing w:after="60"/>
        <w:ind w:left="360" w:hanging="230"/>
      </w:pPr>
      <w:r>
        <w:t>Product responsibility</w:t>
      </w:r>
    </w:p>
    <w:p>
      <w:pPr>
        <w:pStyle w:val="ListBullet"/>
        <w:spacing w:after="60"/>
        <w:ind w:left="360" w:hanging="230"/>
      </w:pPr>
      <w:r>
        <w:t>Rule/policy responsibility</w:t>
      </w:r>
    </w:p>
    <w:p>
      <w:pPr>
        <w:pStyle w:val="ListBullet"/>
        <w:spacing w:after="60"/>
        <w:ind w:left="360" w:hanging="230"/>
      </w:pPr>
      <w:r>
        <w:t>Incident escalation</w:t>
      </w:r>
    </w:p>
    <w:p>
      <w:pPr>
        <w:pStyle w:val="ListBullet"/>
        <w:spacing w:after="60"/>
        <w:ind w:left="360" w:hanging="230"/>
      </w:pPr>
      <w:r>
        <w:t>Product updates</w:t>
      </w:r>
    </w:p>
    <w:p>
      <w:pPr>
        <w:pStyle w:val="ListBullet"/>
        <w:spacing w:after="60"/>
        <w:ind w:left="360" w:hanging="230"/>
      </w:pPr>
      <w:r>
        <w:t>Maintenance</w:t>
      </w:r>
    </w:p>
    <w:p>
      <w:pPr>
        <w:pStyle w:val="ListBullet"/>
        <w:spacing w:after="60"/>
        <w:ind w:left="360" w:hanging="230"/>
      </w:pPr>
      <w:r>
        <w:t>Customer communication</w:t>
      </w:r>
    </w:p>
    <w:p>
      <w:pPr>
        <w:pStyle w:val="Heading2"/>
      </w:pPr>
      <w:r>
        <w:t>17.46 PRODUCTION — Marketplace Readiness</w:t>
      </w:r>
    </w:p>
    <w:p>
      <w:pPr>
        <w:pStyle w:val="ListBullet"/>
        <w:spacing w:after="60"/>
        <w:ind w:left="360" w:hanging="230"/>
      </w:pPr>
      <w:r>
        <w:t>Product packaging</w:t>
      </w:r>
    </w:p>
    <w:p>
      <w:pPr>
        <w:pStyle w:val="ListBullet"/>
        <w:spacing w:after="60"/>
        <w:ind w:left="360" w:hanging="230"/>
      </w:pPr>
      <w:r>
        <w:t>Publisher identity</w:t>
      </w:r>
    </w:p>
    <w:p>
      <w:pPr>
        <w:pStyle w:val="ListBullet"/>
        <w:spacing w:after="60"/>
        <w:ind w:left="360" w:hanging="230"/>
      </w:pPr>
      <w:r>
        <w:t>Pricing</w:t>
      </w:r>
    </w:p>
    <w:p>
      <w:pPr>
        <w:pStyle w:val="ListBullet"/>
        <w:spacing w:after="60"/>
        <w:ind w:left="360" w:hanging="230"/>
      </w:pPr>
      <w:r>
        <w:t>Commercial terms</w:t>
      </w:r>
    </w:p>
    <w:p>
      <w:pPr>
        <w:pStyle w:val="ListBullet"/>
        <w:spacing w:after="60"/>
        <w:ind w:left="360" w:hanging="230"/>
      </w:pPr>
      <w:r>
        <w:t>Support</w:t>
      </w:r>
    </w:p>
    <w:p>
      <w:pPr>
        <w:pStyle w:val="ListBullet"/>
        <w:spacing w:after="60"/>
        <w:ind w:left="360" w:hanging="230"/>
      </w:pPr>
      <w:r>
        <w:t>Deployment model</w:t>
      </w:r>
    </w:p>
    <w:p>
      <w:pPr>
        <w:pStyle w:val="ListBullet"/>
        <w:spacing w:after="60"/>
        <w:ind w:left="360" w:hanging="230"/>
      </w:pPr>
      <w:r>
        <w:t>Technical validation</w:t>
      </w:r>
    </w:p>
    <w:p>
      <w:pPr>
        <w:pStyle w:val="ListBullet"/>
        <w:spacing w:after="60"/>
        <w:ind w:left="360" w:hanging="230"/>
      </w:pPr>
      <w:r>
        <w:t>Marketplace collateral</w:t>
      </w:r>
    </w:p>
    <w:p>
      <w:pPr>
        <w:pStyle w:val="ListBullet"/>
        <w:spacing w:after="60"/>
        <w:ind w:left="360" w:hanging="230"/>
      </w:pPr>
      <w:r>
        <w:t>Architecture diagrams</w:t>
      </w:r>
    </w:p>
    <w:p>
      <w:pPr>
        <w:pStyle w:val="ListBullet"/>
        <w:spacing w:after="60"/>
        <w:ind w:left="360" w:hanging="230"/>
      </w:pPr>
      <w:r>
        <w:t>Offer configuration</w:t>
      </w:r>
    </w:p>
    <w:p>
      <w:pPr>
        <w:pStyle w:val="ListBullet"/>
        <w:spacing w:after="60"/>
        <w:ind w:left="360" w:hanging="230"/>
      </w:pPr>
      <w:r>
        <w:t>Procurement behavior</w:t>
      </w:r>
    </w:p>
    <w:p>
      <w:pPr>
        <w:pStyle w:val="Heading2"/>
      </w:pPr>
      <w:r>
        <w:t>17.47 INVESTIGATE — Real Legal-Billing File Variability</w:t>
      </w:r>
    </w:p>
    <w:p>
      <w:pPr>
        <w:pStyle w:val="ListBullet"/>
        <w:spacing w:after="60"/>
        <w:ind w:left="360" w:hanging="230"/>
      </w:pPr>
      <w:r>
        <w:t>LEDES files</w:t>
      </w:r>
    </w:p>
    <w:p>
      <w:pPr>
        <w:pStyle w:val="ListBullet"/>
        <w:spacing w:after="60"/>
        <w:ind w:left="360" w:hanging="230"/>
      </w:pPr>
      <w:r>
        <w:t>CSV exports</w:t>
      </w:r>
    </w:p>
    <w:p>
      <w:pPr>
        <w:pStyle w:val="ListBullet"/>
        <w:spacing w:after="60"/>
        <w:ind w:left="360" w:hanging="230"/>
      </w:pPr>
      <w:r>
        <w:t>Narratives</w:t>
      </w:r>
    </w:p>
    <w:p>
      <w:pPr>
        <w:pStyle w:val="ListBullet"/>
        <w:spacing w:after="60"/>
        <w:ind w:left="360" w:hanging="230"/>
      </w:pPr>
      <w:r>
        <w:t>Missing fields</w:t>
      </w:r>
    </w:p>
    <w:p>
      <w:pPr>
        <w:pStyle w:val="ListBullet"/>
        <w:spacing w:after="60"/>
        <w:ind w:left="360" w:hanging="230"/>
      </w:pPr>
      <w:r>
        <w:t>Timekeeper classifications</w:t>
      </w:r>
    </w:p>
    <w:p>
      <w:pPr>
        <w:pStyle w:val="ListBullet"/>
        <w:spacing w:after="60"/>
        <w:ind w:left="360" w:hanging="230"/>
      </w:pPr>
      <w:r>
        <w:t>Matter identifiers</w:t>
      </w:r>
    </w:p>
    <w:p>
      <w:pPr>
        <w:pStyle w:val="ListBullet"/>
        <w:spacing w:after="60"/>
        <w:ind w:left="360" w:hanging="230"/>
      </w:pPr>
      <w:r>
        <w:t>Adjustment records</w:t>
      </w:r>
    </w:p>
    <w:p>
      <w:pPr>
        <w:pStyle w:val="ListBullet"/>
        <w:spacing w:after="60"/>
        <w:ind w:left="360" w:hanging="230"/>
      </w:pPr>
      <w:r>
        <w:t>Encoding</w:t>
      </w:r>
    </w:p>
    <w:p>
      <w:pPr>
        <w:pStyle w:val="ListBullet"/>
        <w:spacing w:after="60"/>
        <w:ind w:left="360" w:hanging="230"/>
      </w:pPr>
      <w:r>
        <w:t>Customer-specific fields</w:t>
      </w:r>
    </w:p>
    <w:p>
      <w:pPr>
        <w:pStyle w:val="ListBullet"/>
        <w:spacing w:after="60"/>
        <w:ind w:left="360" w:hanging="230"/>
      </w:pPr>
      <w:r>
        <w:t>Rejected/bad files</w:t>
      </w:r>
    </w:p>
    <w:p>
      <w:pPr>
        <w:pStyle w:val="Heading2"/>
      </w:pPr>
      <w:r>
        <w:t>17.48 INVESTIGATE — LEDES / UTBMS Integration Depth</w:t>
      </w:r>
    </w:p>
    <w:p>
      <w:pPr>
        <w:pStyle w:val="ListBullet"/>
        <w:spacing w:after="60"/>
        <w:ind w:left="360" w:hanging="230"/>
      </w:pPr>
      <w:r>
        <w:t>Minimum supported fields</w:t>
      </w:r>
    </w:p>
    <w:p>
      <w:pPr>
        <w:pStyle w:val="ListBullet"/>
        <w:spacing w:after="60"/>
        <w:ind w:left="360" w:hanging="230"/>
      </w:pPr>
      <w:r>
        <w:t>Mapping into DRE contract</w:t>
      </w:r>
    </w:p>
    <w:p>
      <w:pPr>
        <w:pStyle w:val="ListBullet"/>
        <w:spacing w:after="60"/>
        <w:ind w:left="360" w:hanging="230"/>
      </w:pPr>
      <w:r>
        <w:t>Task/activity codes</w:t>
      </w:r>
    </w:p>
    <w:p>
      <w:pPr>
        <w:pStyle w:val="ListBullet"/>
        <w:spacing w:after="60"/>
        <w:ind w:left="360" w:hanging="230"/>
      </w:pPr>
      <w:r>
        <w:t>Expense handling</w:t>
      </w:r>
    </w:p>
    <w:p>
      <w:pPr>
        <w:pStyle w:val="ListBullet"/>
        <w:spacing w:after="60"/>
        <w:ind w:left="360" w:hanging="230"/>
      </w:pPr>
      <w:r>
        <w:t>Adjustment fields</w:t>
      </w:r>
    </w:p>
    <w:p>
      <w:pPr>
        <w:pStyle w:val="ListBullet"/>
        <w:spacing w:after="60"/>
        <w:ind w:left="360" w:hanging="230"/>
      </w:pPr>
      <w:r>
        <w:t>Matter mapping</w:t>
      </w:r>
    </w:p>
    <w:p>
      <w:pPr>
        <w:pStyle w:val="ListBullet"/>
        <w:spacing w:after="60"/>
        <w:ind w:left="360" w:hanging="230"/>
      </w:pPr>
      <w:r>
        <w:t>Error handling</w:t>
      </w:r>
    </w:p>
    <w:p>
      <w:pPr>
        <w:pStyle w:val="ListBullet"/>
        <w:spacing w:after="60"/>
        <w:ind w:left="360" w:hanging="230"/>
      </w:pPr>
      <w:r>
        <w:t>Output compatibility</w:t>
      </w:r>
    </w:p>
    <w:p>
      <w:pPr>
        <w:pStyle w:val="ListBullet"/>
        <w:spacing w:after="60"/>
        <w:ind w:left="360" w:hanging="230"/>
      </w:pPr>
      <w:r>
        <w:t>Whether later standards are commercially necessary</w:t>
      </w:r>
    </w:p>
    <w:p>
      <w:pPr>
        <w:pStyle w:val="Heading2"/>
      </w:pPr>
      <w:r>
        <w:t>17.49 INVESTIGATE — Consensus Model Composition</w:t>
      </w:r>
    </w:p>
    <w:p>
      <w:pPr>
        <w:pStyle w:val="ListBullet"/>
        <w:spacing w:after="60"/>
        <w:ind w:left="360" w:hanging="230"/>
      </w:pPr>
      <w:r>
        <w:t>Model quality</w:t>
      </w:r>
    </w:p>
    <w:p>
      <w:pPr>
        <w:pStyle w:val="ListBullet"/>
        <w:spacing w:after="60"/>
        <w:ind w:left="360" w:hanging="230"/>
      </w:pPr>
      <w:r>
        <w:t>Independence</w:t>
      </w:r>
    </w:p>
    <w:p>
      <w:pPr>
        <w:pStyle w:val="ListBullet"/>
        <w:spacing w:after="60"/>
        <w:ind w:left="360" w:hanging="230"/>
      </w:pPr>
      <w:r>
        <w:t>Legal-billing usefulness</w:t>
      </w:r>
    </w:p>
    <w:p>
      <w:pPr>
        <w:pStyle w:val="ListBullet"/>
        <w:spacing w:after="60"/>
        <w:ind w:left="360" w:hanging="230"/>
      </w:pPr>
      <w:r>
        <w:t>Structured output reliability</w:t>
      </w:r>
    </w:p>
    <w:p>
      <w:pPr>
        <w:pStyle w:val="ListBullet"/>
        <w:spacing w:after="60"/>
        <w:ind w:left="360" w:hanging="230"/>
      </w:pPr>
      <w:r>
        <w:t>Latency</w:t>
      </w:r>
    </w:p>
    <w:p>
      <w:pPr>
        <w:pStyle w:val="ListBullet"/>
        <w:spacing w:after="60"/>
        <w:ind w:left="360" w:hanging="230"/>
      </w:pPr>
      <w:r>
        <w:t>Cost</w:t>
      </w:r>
    </w:p>
    <w:p>
      <w:pPr>
        <w:pStyle w:val="ListBullet"/>
        <w:spacing w:after="60"/>
        <w:ind w:left="360" w:hanging="230"/>
      </w:pPr>
      <w:r>
        <w:t>Azure availability</w:t>
      </w:r>
    </w:p>
    <w:p>
      <w:pPr>
        <w:pStyle w:val="ListBullet"/>
        <w:spacing w:after="60"/>
        <w:ind w:left="360" w:hanging="230"/>
      </w:pPr>
      <w:r>
        <w:t>Fine-tuning potential</w:t>
      </w:r>
    </w:p>
    <w:p>
      <w:pPr>
        <w:pStyle w:val="ListBullet"/>
        <w:spacing w:after="60"/>
        <w:ind w:left="360" w:hanging="230"/>
      </w:pPr>
      <w:r>
        <w:t>Version stability</w:t>
      </w:r>
    </w:p>
    <w:p>
      <w:pPr>
        <w:pStyle w:val="Heading2"/>
      </w:pPr>
      <w:r>
        <w:t>17.50 INVESTIGATE — Three-Round Value</w:t>
      </w:r>
    </w:p>
    <w:p>
      <w:pPr>
        <w:pStyle w:val="ListBullet"/>
        <w:spacing w:after="60"/>
        <w:ind w:left="360" w:hanging="230"/>
      </w:pPr>
      <w:r>
        <w:t>Does repeated consensus improve useful accuracy?</w:t>
      </w:r>
    </w:p>
    <w:p>
      <w:pPr>
        <w:pStyle w:val="ListBullet"/>
        <w:spacing w:after="60"/>
        <w:ind w:left="360" w:hanging="230"/>
      </w:pPr>
      <w:r>
        <w:t>Does it expose meaningful disagreement?</w:t>
      </w:r>
    </w:p>
    <w:p>
      <w:pPr>
        <w:pStyle w:val="ListBullet"/>
        <w:spacing w:after="60"/>
        <w:ind w:left="360" w:hanging="230"/>
      </w:pPr>
      <w:r>
        <w:t>Does it reduce or increase false confidence?</w:t>
      </w:r>
    </w:p>
    <w:p>
      <w:pPr>
        <w:pStyle w:val="ListBullet"/>
        <w:spacing w:after="60"/>
        <w:ind w:left="360" w:hanging="230"/>
      </w:pPr>
      <w:r>
        <w:t>What additional latency results?</w:t>
      </w:r>
    </w:p>
    <w:p>
      <w:pPr>
        <w:pStyle w:val="ListBullet"/>
        <w:spacing w:after="60"/>
        <w:ind w:left="360" w:hanging="230"/>
      </w:pPr>
      <w:r>
        <w:t>What additional Azure cost results?</w:t>
      </w:r>
    </w:p>
    <w:p>
      <w:pPr>
        <w:pStyle w:val="ListBullet"/>
        <w:spacing w:after="60"/>
        <w:ind w:left="360" w:hanging="230"/>
      </w:pPr>
      <w:r>
        <w:t>Do humans find the record more useful?</w:t>
      </w:r>
    </w:p>
    <w:p>
      <w:pPr>
        <w:pStyle w:val="ListBullet"/>
        <w:spacing w:after="60"/>
        <w:ind w:left="360" w:hanging="230"/>
      </w:pPr>
      <w:r>
        <w:t>At what exception/risk level is repetition justified?</w:t>
      </w:r>
    </w:p>
    <w:p>
      <w:pPr>
        <w:pStyle w:val="Heading2"/>
      </w:pPr>
      <w:r>
        <w:t>17.51 INVESTIGATE — Customer Workflow Integration</w:t>
      </w:r>
    </w:p>
    <w:p>
      <w:pPr>
        <w:pStyle w:val="ListBullet"/>
        <w:spacing w:after="60"/>
        <w:ind w:left="360" w:hanging="230"/>
      </w:pPr>
      <w:r>
        <w:t>Where DRE receives the bill</w:t>
      </w:r>
    </w:p>
    <w:p>
      <w:pPr>
        <w:pStyle w:val="ListBullet"/>
        <w:spacing w:after="60"/>
        <w:ind w:left="360" w:hanging="230"/>
      </w:pPr>
      <w:r>
        <w:t>What system sends it</w:t>
      </w:r>
    </w:p>
    <w:p>
      <w:pPr>
        <w:pStyle w:val="ListBullet"/>
        <w:spacing w:after="60"/>
        <w:ind w:left="360" w:hanging="230"/>
      </w:pPr>
      <w:r>
        <w:t>When OCG review currently happens</w:t>
      </w:r>
    </w:p>
    <w:p>
      <w:pPr>
        <w:pStyle w:val="ListBullet"/>
        <w:spacing w:after="60"/>
        <w:ind w:left="360" w:hanging="230"/>
      </w:pPr>
      <w:r>
        <w:t>What must receive DRE output</w:t>
      </w:r>
    </w:p>
    <w:p>
      <w:pPr>
        <w:pStyle w:val="ListBullet"/>
        <w:spacing w:after="60"/>
        <w:ind w:left="360" w:hanging="230"/>
      </w:pPr>
      <w:r>
        <w:t>Whether AP is involved</w:t>
      </w:r>
    </w:p>
    <w:p>
      <w:pPr>
        <w:pStyle w:val="ListBullet"/>
        <w:spacing w:after="60"/>
        <w:ind w:left="360" w:hanging="230"/>
      </w:pPr>
      <w:r>
        <w:t>Whether e-billing system import is required</w:t>
      </w:r>
    </w:p>
    <w:p>
      <w:pPr>
        <w:pStyle w:val="ListBullet"/>
        <w:spacing w:after="60"/>
        <w:ind w:left="360" w:hanging="230"/>
      </w:pPr>
      <w:r>
        <w:t>Whether direct API integration matters</w:t>
      </w:r>
    </w:p>
    <w:p>
      <w:pPr>
        <w:pStyle w:val="ListBullet"/>
        <w:spacing w:after="60"/>
        <w:ind w:left="360" w:hanging="230"/>
      </w:pPr>
      <w:r>
        <w:t>Whether file-based workflows are sufficient initially</w:t>
      </w:r>
    </w:p>
    <w:p>
      <w:pPr>
        <w:pStyle w:val="Heading2"/>
      </w:pPr>
      <w:r>
        <w:t>17.52 INVESTIGATE — Buying Trigger and Segmentation</w:t>
      </w:r>
    </w:p>
    <w:p>
      <w:pPr>
        <w:pStyle w:val="ListBullet"/>
        <w:spacing w:after="60"/>
        <w:ind w:left="360" w:hanging="230"/>
      </w:pPr>
      <w:r>
        <w:t>Increased outside-counsel spend</w:t>
      </w:r>
    </w:p>
    <w:p>
      <w:pPr>
        <w:pStyle w:val="ListBullet"/>
        <w:spacing w:after="60"/>
        <w:ind w:left="360" w:hanging="230"/>
      </w:pPr>
      <w:r>
        <w:t>New GC/legal-ops leader</w:t>
      </w:r>
    </w:p>
    <w:p>
      <w:pPr>
        <w:pStyle w:val="ListBullet"/>
        <w:spacing w:after="60"/>
        <w:ind w:left="360" w:hanging="230"/>
      </w:pPr>
      <w:r>
        <w:t>Audit</w:t>
      </w:r>
    </w:p>
    <w:p>
      <w:pPr>
        <w:pStyle w:val="ListBullet"/>
        <w:spacing w:after="60"/>
        <w:ind w:left="360" w:hanging="230"/>
      </w:pPr>
      <w:r>
        <w:t>OCG rewrite</w:t>
      </w:r>
    </w:p>
    <w:p>
      <w:pPr>
        <w:pStyle w:val="ListBullet"/>
        <w:spacing w:after="60"/>
        <w:ind w:left="360" w:hanging="230"/>
      </w:pPr>
      <w:r>
        <w:t>Staffing pressure</w:t>
      </w:r>
    </w:p>
    <w:p>
      <w:pPr>
        <w:pStyle w:val="ListBullet"/>
        <w:spacing w:after="60"/>
        <w:ind w:left="360" w:hanging="230"/>
      </w:pPr>
      <w:r>
        <w:t>Budget pressure</w:t>
      </w:r>
    </w:p>
    <w:p>
      <w:pPr>
        <w:pStyle w:val="ListBullet"/>
        <w:spacing w:after="60"/>
        <w:ind w:left="360" w:hanging="230"/>
      </w:pPr>
      <w:r>
        <w:t>ELM/e-billing change</w:t>
      </w:r>
    </w:p>
    <w:p>
      <w:pPr>
        <w:pStyle w:val="ListBullet"/>
        <w:spacing w:after="60"/>
        <w:ind w:left="360" w:hanging="230"/>
      </w:pPr>
      <w:r>
        <w:t>M&amp;A</w:t>
      </w:r>
    </w:p>
    <w:p>
      <w:pPr>
        <w:pStyle w:val="ListBullet"/>
        <w:spacing w:after="60"/>
        <w:ind w:left="360" w:hanging="230"/>
      </w:pPr>
      <w:r>
        <w:t>Large law-firm panel</w:t>
      </w:r>
    </w:p>
    <w:p>
      <w:pPr>
        <w:pStyle w:val="ListBullet"/>
        <w:spacing w:after="60"/>
        <w:ind w:left="360" w:hanging="230"/>
      </w:pPr>
      <w:r>
        <w:t>Excessive manual review</w:t>
      </w:r>
    </w:p>
    <w:p>
      <w:pPr>
        <w:pStyle w:val="ListBullet"/>
        <w:spacing w:after="60"/>
        <w:ind w:left="360" w:hanging="230"/>
      </w:pPr>
      <w:r>
        <w:t>Enterprise AI initiative</w:t>
      </w:r>
    </w:p>
    <w:p>
      <w:pPr>
        <w:pStyle w:val="Heading2"/>
      </w:pPr>
      <w:r>
        <w:t>17.53 INVESTIGATE — Pricing</w:t>
      </w:r>
    </w:p>
    <w:p>
      <w:pPr>
        <w:pStyle w:val="ListBullet"/>
        <w:spacing w:after="60"/>
        <w:ind w:left="360" w:hanging="230"/>
      </w:pPr>
      <w:r>
        <w:t>Customer willingness to pay</w:t>
      </w:r>
    </w:p>
    <w:p>
      <w:pPr>
        <w:pStyle w:val="ListBullet"/>
        <w:spacing w:after="60"/>
        <w:ind w:left="360" w:hanging="230"/>
      </w:pPr>
      <w:r>
        <w:t>Budget owner</w:t>
      </w:r>
    </w:p>
    <w:p>
      <w:pPr>
        <w:pStyle w:val="ListBullet"/>
        <w:spacing w:after="60"/>
        <w:ind w:left="360" w:hanging="230"/>
      </w:pPr>
      <w:r>
        <w:t>Procurement category</w:t>
      </w:r>
    </w:p>
    <w:p>
      <w:pPr>
        <w:pStyle w:val="ListBullet"/>
        <w:spacing w:after="60"/>
        <w:ind w:left="360" w:hanging="230"/>
      </w:pPr>
      <w:r>
        <w:t>Subscription expectations</w:t>
      </w:r>
    </w:p>
    <w:p>
      <w:pPr>
        <w:pStyle w:val="ListBullet"/>
        <w:spacing w:after="60"/>
        <w:ind w:left="360" w:hanging="230"/>
      </w:pPr>
      <w:r>
        <w:t>Deployment fees</w:t>
      </w:r>
    </w:p>
    <w:p>
      <w:pPr>
        <w:pStyle w:val="ListBullet"/>
        <w:spacing w:after="60"/>
        <w:ind w:left="360" w:hanging="230"/>
      </w:pPr>
      <w:r>
        <w:t>Usage-linked pricing</w:t>
      </w:r>
    </w:p>
    <w:p>
      <w:pPr>
        <w:pStyle w:val="ListBullet"/>
        <w:spacing w:after="60"/>
        <w:ind w:left="360" w:hanging="230"/>
      </w:pPr>
      <w:r>
        <w:t>Azure-consumption relationship</w:t>
      </w:r>
    </w:p>
    <w:p>
      <w:pPr>
        <w:pStyle w:val="ListBullet"/>
        <w:spacing w:after="60"/>
        <w:ind w:left="360" w:hanging="230"/>
      </w:pPr>
      <w:r>
        <w:t>Support</w:t>
      </w:r>
    </w:p>
    <w:p>
      <w:pPr>
        <w:pStyle w:val="ListBullet"/>
        <w:spacing w:after="60"/>
        <w:ind w:left="360" w:hanging="230"/>
      </w:pPr>
      <w:r>
        <w:t>Enterprise packaging</w:t>
      </w:r>
    </w:p>
    <w:p>
      <w:pPr>
        <w:pStyle w:val="ListBullet"/>
        <w:spacing w:after="60"/>
        <w:ind w:left="360" w:hanging="230"/>
      </w:pPr>
      <w:r>
        <w:t>Design-partner economics</w:t>
      </w:r>
    </w:p>
    <w:p>
      <w:pPr>
        <w:pStyle w:val="Heading2"/>
      </w:pPr>
      <w:r>
        <w:t>17.54 INVESTIGATE — Review Accuracy and False Positives</w:t>
      </w:r>
    </w:p>
    <w:p>
      <w:pPr>
        <w:pStyle w:val="ListBullet"/>
        <w:spacing w:after="60"/>
        <w:ind w:left="360" w:hanging="230"/>
      </w:pPr>
      <w:r>
        <w:t>False positives</w:t>
      </w:r>
    </w:p>
    <w:p>
      <w:pPr>
        <w:pStyle w:val="ListBullet"/>
        <w:spacing w:after="60"/>
        <w:ind w:left="360" w:hanging="230"/>
      </w:pPr>
      <w:r>
        <w:t>False negatives</w:t>
      </w:r>
    </w:p>
    <w:p>
      <w:pPr>
        <w:pStyle w:val="ListBullet"/>
        <w:spacing w:after="60"/>
        <w:ind w:left="360" w:hanging="230"/>
      </w:pPr>
      <w:r>
        <w:t>Reviewer agreement</w:t>
      </w:r>
    </w:p>
    <w:p>
      <w:pPr>
        <w:pStyle w:val="ListBullet"/>
        <w:spacing w:after="60"/>
        <w:ind w:left="360" w:hanging="230"/>
      </w:pPr>
      <w:r>
        <w:t>Override rate</w:t>
      </w:r>
    </w:p>
    <w:p>
      <w:pPr>
        <w:pStyle w:val="ListBullet"/>
        <w:spacing w:after="60"/>
        <w:ind w:left="360" w:hanging="230"/>
      </w:pPr>
      <w:r>
        <w:t>Repeat violation patterns</w:t>
      </w:r>
    </w:p>
    <w:p>
      <w:pPr>
        <w:pStyle w:val="ListBullet"/>
        <w:spacing w:after="60"/>
        <w:ind w:left="360" w:hanging="230"/>
      </w:pPr>
      <w:r>
        <w:t>Precision by rule/exception type</w:t>
      </w:r>
    </w:p>
    <w:p>
      <w:pPr>
        <w:pStyle w:val="ListBullet"/>
        <w:spacing w:after="60"/>
        <w:ind w:left="360" w:hanging="230"/>
      </w:pPr>
      <w:r>
        <w:t>Consensus disagreement</w:t>
      </w:r>
    </w:p>
    <w:p>
      <w:pPr>
        <w:pStyle w:val="ListBullet"/>
        <w:spacing w:after="60"/>
        <w:ind w:left="360" w:hanging="230"/>
      </w:pPr>
      <w:r>
        <w:t>Human-review burden</w:t>
      </w:r>
    </w:p>
    <w:p>
      <w:pPr>
        <w:pStyle w:val="Heading2"/>
      </w:pPr>
      <w:r>
        <w:t>17.55 INVESTIGATE — Customer Security / Procurement Requirements</w:t>
      </w:r>
    </w:p>
    <w:p>
      <w:pPr>
        <w:pStyle w:val="ListBullet"/>
        <w:spacing w:after="60"/>
        <w:ind w:left="360" w:hanging="230"/>
      </w:pPr>
      <w:r>
        <w:t>Data residency</w:t>
      </w:r>
    </w:p>
    <w:p>
      <w:pPr>
        <w:pStyle w:val="ListBullet"/>
        <w:spacing w:after="60"/>
        <w:ind w:left="360" w:hanging="230"/>
      </w:pPr>
      <w:r>
        <w:t>Private connectivity</w:t>
      </w:r>
    </w:p>
    <w:p>
      <w:pPr>
        <w:pStyle w:val="ListBullet"/>
        <w:spacing w:after="60"/>
        <w:ind w:left="360" w:hanging="230"/>
      </w:pPr>
      <w:r>
        <w:t>Identity</w:t>
      </w:r>
    </w:p>
    <w:p>
      <w:pPr>
        <w:pStyle w:val="ListBullet"/>
        <w:spacing w:after="60"/>
        <w:ind w:left="360" w:hanging="230"/>
      </w:pPr>
      <w:r>
        <w:t>Logging</w:t>
      </w:r>
    </w:p>
    <w:p>
      <w:pPr>
        <w:pStyle w:val="ListBullet"/>
        <w:spacing w:after="60"/>
        <w:ind w:left="360" w:hanging="230"/>
      </w:pPr>
      <w:r>
        <w:t>Retention</w:t>
      </w:r>
    </w:p>
    <w:p>
      <w:pPr>
        <w:pStyle w:val="ListBullet"/>
        <w:spacing w:after="60"/>
        <w:ind w:left="360" w:hanging="230"/>
      </w:pPr>
      <w:r>
        <w:t>Model use</w:t>
      </w:r>
    </w:p>
    <w:p>
      <w:pPr>
        <w:pStyle w:val="ListBullet"/>
        <w:spacing w:after="60"/>
        <w:ind w:left="360" w:hanging="230"/>
      </w:pPr>
      <w:r>
        <w:t>Vendor access</w:t>
      </w:r>
    </w:p>
    <w:p>
      <w:pPr>
        <w:pStyle w:val="ListBullet"/>
        <w:spacing w:after="60"/>
        <w:ind w:left="360" w:hanging="230"/>
      </w:pPr>
      <w:r>
        <w:t>Customer keys</w:t>
      </w:r>
    </w:p>
    <w:p>
      <w:pPr>
        <w:pStyle w:val="ListBullet"/>
        <w:spacing w:after="60"/>
        <w:ind w:left="360" w:hanging="230"/>
      </w:pPr>
      <w:r>
        <w:t>Penetration testing</w:t>
      </w:r>
    </w:p>
    <w:p>
      <w:pPr>
        <w:pStyle w:val="ListBullet"/>
        <w:spacing w:after="60"/>
        <w:ind w:left="360" w:hanging="230"/>
      </w:pPr>
      <w:r>
        <w:t>SOC reports/certification expectations</w:t>
      </w:r>
    </w:p>
    <w:p>
      <w:pPr>
        <w:pStyle w:val="ListBullet"/>
        <w:spacing w:after="60"/>
        <w:ind w:left="360" w:hanging="230"/>
      </w:pPr>
      <w:r>
        <w:t>Contractual requirements</w:t>
      </w:r>
    </w:p>
    <w:p>
      <w:pPr>
        <w:pStyle w:val="ListBullet"/>
        <w:spacing w:after="60"/>
        <w:ind w:left="360" w:hanging="230"/>
      </w:pPr>
      <w:r>
        <w:t>Procurement review</w:t>
      </w:r>
    </w:p>
    <w:p>
      <w:pPr>
        <w:pStyle w:val="Heading2"/>
      </w:pPr>
      <w:r>
        <w:t>17.56 DOCUMENTATION GAPS</w:t>
      </w:r>
    </w:p>
    <w:p>
      <w:pPr>
        <w:pStyle w:val="ListBullet"/>
        <w:spacing w:after="60"/>
        <w:ind w:left="360" w:hanging="230"/>
      </w:pPr>
      <w:r>
        <w:t>One-round current consensus vs. multi-round intended consensus</w:t>
      </w:r>
    </w:p>
    <w:p>
      <w:pPr>
        <w:pStyle w:val="ListBullet"/>
        <w:spacing w:after="60"/>
        <w:ind w:left="360" w:hanging="230"/>
      </w:pPr>
      <w:r>
        <w:t>Current status vocabulary</w:t>
      </w:r>
    </w:p>
    <w:p>
      <w:pPr>
        <w:pStyle w:val="ListBullet"/>
        <w:spacing w:after="60"/>
        <w:ind w:left="360" w:hanging="230"/>
      </w:pPr>
      <w:r>
        <w:t>Financial terminology</w:t>
      </w:r>
    </w:p>
    <w:p>
      <w:pPr>
        <w:pStyle w:val="ListBullet"/>
        <w:spacing w:after="60"/>
        <w:ind w:left="360" w:hanging="230"/>
      </w:pPr>
      <w:r>
        <w:t>Human-escalation behavior</w:t>
      </w:r>
    </w:p>
    <w:p>
      <w:pPr>
        <w:pStyle w:val="ListBullet"/>
        <w:spacing w:after="60"/>
        <w:ind w:left="360" w:hanging="230"/>
      </w:pPr>
      <w:r>
        <w:t>Azure foundation vs. production architecture</w:t>
      </w:r>
    </w:p>
    <w:p>
      <w:pPr>
        <w:pStyle w:val="ListBullet"/>
        <w:spacing w:after="60"/>
        <w:ind w:left="360" w:hanging="230"/>
      </w:pPr>
      <w:r>
        <w:t>Customer-owned Azure language</w:t>
      </w:r>
    </w:p>
    <w:p>
      <w:pPr>
        <w:pStyle w:val="ListBullet"/>
        <w:spacing w:after="60"/>
        <w:ind w:left="360" w:hanging="230"/>
      </w:pPr>
      <w:r>
        <w:t>Public demo vs. production use</w:t>
      </w:r>
    </w:p>
    <w:p>
      <w:pPr>
        <w:pStyle w:val="ListBullet"/>
        <w:spacing w:after="60"/>
        <w:ind w:left="360" w:hanging="230"/>
      </w:pPr>
      <w:r>
        <w:t>Current input contract vs. future LEDES/CSV normalization</w:t>
      </w:r>
    </w:p>
    <w:p>
      <w:pPr>
        <w:pStyle w:val="ListBullet"/>
        <w:spacing w:after="60"/>
        <w:ind w:left="360" w:hanging="230"/>
      </w:pPr>
      <w:r>
        <w:t>Current illustrative rules vs. customer OCG engine</w:t>
      </w:r>
    </w:p>
    <w:p>
      <w:pPr>
        <w:pStyle w:val="ListBullet"/>
        <w:spacing w:after="60"/>
        <w:ind w:left="360" w:hanging="230"/>
      </w:pPr>
      <w:r>
        <w:t>Audit receipt vs. intended evidence chain</w:t>
      </w:r>
    </w:p>
    <w:p>
      <w:pPr>
        <w:pStyle w:val="Heading2"/>
      </w:pPr>
      <w:r>
        <w:t>17.57 ARCHITECTURE GAPS</w:t>
      </w:r>
    </w:p>
    <w:p>
      <w:pPr>
        <w:pStyle w:val="ListBullet"/>
        <w:spacing w:after="60"/>
        <w:ind w:left="360" w:hanging="230"/>
      </w:pPr>
      <w:r>
        <w:t>Complete file-normalization layer</w:t>
      </w:r>
    </w:p>
    <w:p>
      <w:pPr>
        <w:pStyle w:val="ListBullet"/>
        <w:spacing w:after="60"/>
        <w:ind w:left="360" w:hanging="230"/>
      </w:pPr>
      <w:r>
        <w:t>Configurable OCG policy lifecycle</w:t>
      </w:r>
    </w:p>
    <w:p>
      <w:pPr>
        <w:pStyle w:val="ListBullet"/>
        <w:spacing w:after="60"/>
        <w:ind w:left="360" w:hanging="230"/>
      </w:pPr>
      <w:r>
        <w:t>Reachable/defined human-escalation rules</w:t>
      </w:r>
    </w:p>
    <w:p>
      <w:pPr>
        <w:pStyle w:val="ListBullet"/>
        <w:spacing w:after="60"/>
        <w:ind w:left="360" w:hanging="230"/>
      </w:pPr>
      <w:r>
        <w:t>Multi-round consensus implementation</w:t>
      </w:r>
    </w:p>
    <w:p>
      <w:pPr>
        <w:pStyle w:val="ListBullet"/>
        <w:spacing w:after="60"/>
        <w:ind w:left="360" w:hanging="230"/>
      </w:pPr>
      <w:r>
        <w:t>Full reconstruct-and-split behavior</w:t>
      </w:r>
    </w:p>
    <w:p>
      <w:pPr>
        <w:pStyle w:val="ListBullet"/>
        <w:spacing w:after="60"/>
        <w:ind w:left="360" w:hanging="230"/>
      </w:pPr>
      <w:r>
        <w:t>Strong structured output validation</w:t>
      </w:r>
    </w:p>
    <w:p>
      <w:pPr>
        <w:pStyle w:val="ListBullet"/>
        <w:spacing w:after="60"/>
        <w:ind w:left="360" w:hanging="230"/>
      </w:pPr>
      <w:r>
        <w:t>Expanded audit evidence</w:t>
      </w:r>
    </w:p>
    <w:p>
      <w:pPr>
        <w:pStyle w:val="ListBullet"/>
        <w:spacing w:after="60"/>
        <w:ind w:left="360" w:hanging="230"/>
      </w:pPr>
      <w:r>
        <w:t>Application runtime deployment</w:t>
      </w:r>
    </w:p>
    <w:p>
      <w:pPr>
        <w:pStyle w:val="ListBullet"/>
        <w:spacing w:after="60"/>
        <w:ind w:left="360" w:hanging="230"/>
      </w:pPr>
      <w:r>
        <w:t>Messaging</w:t>
      </w:r>
    </w:p>
    <w:p>
      <w:pPr>
        <w:pStyle w:val="ListBullet"/>
        <w:spacing w:after="60"/>
        <w:ind w:left="360" w:hanging="230"/>
      </w:pPr>
      <w:r>
        <w:t>Private endpoints/DNS</w:t>
      </w:r>
    </w:p>
    <w:p>
      <w:pPr>
        <w:pStyle w:val="ListBullet"/>
        <w:spacing w:after="60"/>
        <w:ind w:left="360" w:hanging="230"/>
      </w:pPr>
      <w:r>
        <w:t>Managed identity/RBAC</w:t>
      </w:r>
    </w:p>
    <w:p>
      <w:pPr>
        <w:pStyle w:val="ListBullet"/>
        <w:spacing w:after="60"/>
        <w:ind w:left="360" w:hanging="230"/>
      </w:pPr>
      <w:r>
        <w:t>Completed Cosmos data layer</w:t>
      </w:r>
    </w:p>
    <w:p>
      <w:pPr>
        <w:pStyle w:val="ListBullet"/>
        <w:spacing w:after="60"/>
        <w:ind w:left="360" w:hanging="230"/>
      </w:pPr>
      <w:r>
        <w:t>Model deployment</w:t>
      </w:r>
    </w:p>
    <w:p>
      <w:pPr>
        <w:pStyle w:val="ListBullet"/>
        <w:spacing w:after="60"/>
        <w:ind w:left="360" w:hanging="230"/>
      </w:pPr>
      <w:r>
        <w:t>Observability</w:t>
      </w:r>
    </w:p>
    <w:p>
      <w:pPr>
        <w:pStyle w:val="ListBullet"/>
        <w:spacing w:after="60"/>
        <w:ind w:left="360" w:hanging="230"/>
      </w:pPr>
      <w:r>
        <w:t>Recovery</w:t>
      </w:r>
    </w:p>
    <w:p>
      <w:pPr>
        <w:pStyle w:val="ListBullet"/>
        <w:spacing w:after="60"/>
        <w:ind w:left="360" w:hanging="230"/>
      </w:pPr>
      <w:r>
        <w:t>Retention</w:t>
      </w:r>
    </w:p>
    <w:p>
      <w:pPr>
        <w:pStyle w:val="Heading2"/>
      </w:pPr>
      <w:r>
        <w:t>17.58 SECURITY GAPS</w:t>
      </w:r>
    </w:p>
    <w:p>
      <w:pPr>
        <w:pStyle w:val="ListBullet"/>
        <w:spacing w:after="60"/>
        <w:ind w:left="360" w:hanging="230"/>
      </w:pPr>
      <w:r>
        <w:t>Private endpoint implementation</w:t>
      </w:r>
    </w:p>
    <w:p>
      <w:pPr>
        <w:pStyle w:val="ListBullet"/>
        <w:spacing w:after="60"/>
        <w:ind w:left="360" w:hanging="230"/>
      </w:pPr>
      <w:r>
        <w:t>Private DNS</w:t>
      </w:r>
    </w:p>
    <w:p>
      <w:pPr>
        <w:pStyle w:val="ListBullet"/>
        <w:spacing w:after="60"/>
        <w:ind w:left="360" w:hanging="230"/>
      </w:pPr>
      <w:r>
        <w:t>Network validation</w:t>
      </w:r>
    </w:p>
    <w:p>
      <w:pPr>
        <w:pStyle w:val="ListBullet"/>
        <w:spacing w:after="60"/>
        <w:ind w:left="360" w:hanging="230"/>
      </w:pPr>
      <w:r>
        <w:t>Managed identity</w:t>
      </w:r>
    </w:p>
    <w:p>
      <w:pPr>
        <w:pStyle w:val="ListBullet"/>
        <w:spacing w:after="60"/>
        <w:ind w:left="360" w:hanging="230"/>
      </w:pPr>
      <w:r>
        <w:t>RBAC</w:t>
      </w:r>
    </w:p>
    <w:p>
      <w:pPr>
        <w:pStyle w:val="ListBullet"/>
        <w:spacing w:after="60"/>
        <w:ind w:left="360" w:hanging="230"/>
      </w:pPr>
      <w:r>
        <w:t>Key Vault hardening</w:t>
      </w:r>
    </w:p>
    <w:p>
      <w:pPr>
        <w:pStyle w:val="ListBullet"/>
        <w:spacing w:after="60"/>
        <w:ind w:left="360" w:hanging="230"/>
      </w:pPr>
      <w:r>
        <w:t>Cosmos authorization</w:t>
      </w:r>
    </w:p>
    <w:p>
      <w:pPr>
        <w:pStyle w:val="ListBullet"/>
        <w:spacing w:after="60"/>
        <w:ind w:left="360" w:hanging="230"/>
      </w:pPr>
      <w:r>
        <w:t>Model invocation authorization</w:t>
      </w:r>
    </w:p>
    <w:p>
      <w:pPr>
        <w:pStyle w:val="ListBullet"/>
        <w:spacing w:after="60"/>
        <w:ind w:left="360" w:hanging="230"/>
      </w:pPr>
      <w:r>
        <w:t>Monitoring</w:t>
      </w:r>
    </w:p>
    <w:p>
      <w:pPr>
        <w:pStyle w:val="ListBullet"/>
        <w:spacing w:after="60"/>
        <w:ind w:left="360" w:hanging="230"/>
      </w:pPr>
      <w:r>
        <w:t>Security alerts</w:t>
      </w:r>
    </w:p>
    <w:p>
      <w:pPr>
        <w:pStyle w:val="ListBullet"/>
        <w:spacing w:after="60"/>
        <w:ind w:left="360" w:hanging="230"/>
      </w:pPr>
      <w:r>
        <w:t>Negative-path validation</w:t>
      </w:r>
    </w:p>
    <w:p>
      <w:pPr>
        <w:pStyle w:val="ListBullet"/>
        <w:spacing w:after="60"/>
        <w:ind w:left="360" w:hanging="230"/>
      </w:pPr>
      <w:r>
        <w:t>Environment separation</w:t>
      </w:r>
    </w:p>
    <w:p>
      <w:pPr>
        <w:pStyle w:val="ListBullet"/>
        <w:spacing w:after="60"/>
        <w:ind w:left="360" w:hanging="230"/>
      </w:pPr>
      <w:r>
        <w:t>Retention controls</w:t>
      </w:r>
    </w:p>
    <w:p>
      <w:pPr>
        <w:pStyle w:val="ListBullet"/>
        <w:spacing w:after="60"/>
        <w:ind w:left="360" w:hanging="230"/>
      </w:pPr>
      <w:r>
        <w:t>Recovery validation</w:t>
      </w:r>
    </w:p>
    <w:p>
      <w:pPr>
        <w:pStyle w:val="ListBullet"/>
        <w:spacing w:after="60"/>
        <w:ind w:left="360" w:hanging="230"/>
      </w:pPr>
      <w:r>
        <w:t>Documented customer/Engineered Launch responsibility</w:t>
      </w:r>
    </w:p>
    <w:p>
      <w:pPr>
        <w:pStyle w:val="Heading2"/>
      </w:pPr>
      <w:r>
        <w:t>17.59 UX GAPS</w:t>
      </w:r>
    </w:p>
    <w:p>
      <w:pPr>
        <w:pStyle w:val="ListBullet"/>
        <w:spacing w:after="60"/>
        <w:ind w:left="360" w:hanging="230"/>
      </w:pPr>
      <w:r>
        <w:t>Upload clarity</w:t>
      </w:r>
    </w:p>
    <w:p>
      <w:pPr>
        <w:pStyle w:val="ListBullet"/>
        <w:spacing w:after="60"/>
        <w:ind w:left="360" w:hanging="230"/>
      </w:pPr>
      <w:r>
        <w:t>Sample-file discoverability</w:t>
      </w:r>
    </w:p>
    <w:p>
      <w:pPr>
        <w:pStyle w:val="ListBullet"/>
        <w:spacing w:after="60"/>
        <w:ind w:left="360" w:hanging="230"/>
      </w:pPr>
      <w:r>
        <w:t>Processing feedback</w:t>
      </w:r>
    </w:p>
    <w:p>
      <w:pPr>
        <w:pStyle w:val="ListBullet"/>
        <w:spacing w:after="60"/>
        <w:ind w:left="360" w:hanging="230"/>
      </w:pPr>
      <w:r>
        <w:t>Count clarity</w:t>
      </w:r>
    </w:p>
    <w:p>
      <w:pPr>
        <w:pStyle w:val="ListBullet"/>
        <w:spacing w:after="60"/>
        <w:ind w:left="360" w:hanging="230"/>
      </w:pPr>
      <w:r>
        <w:t>Passed Consensus meaning</w:t>
      </w:r>
    </w:p>
    <w:p>
      <w:pPr>
        <w:pStyle w:val="ListBullet"/>
        <w:spacing w:after="60"/>
        <w:ind w:left="360" w:hanging="230"/>
      </w:pPr>
      <w:r>
        <w:t>Human Review clarity</w:t>
      </w:r>
    </w:p>
    <w:p>
      <w:pPr>
        <w:pStyle w:val="ListBullet"/>
        <w:spacing w:after="60"/>
        <w:ind w:left="360" w:hanging="230"/>
      </w:pPr>
      <w:r>
        <w:t>Transaction explanation</w:t>
      </w:r>
    </w:p>
    <w:p>
      <w:pPr>
        <w:pStyle w:val="ListBullet"/>
        <w:spacing w:after="60"/>
        <w:ind w:left="360" w:hanging="230"/>
      </w:pPr>
      <w:r>
        <w:t>Download usability</w:t>
      </w:r>
    </w:p>
    <w:p>
      <w:pPr>
        <w:pStyle w:val="ListBullet"/>
        <w:spacing w:after="60"/>
        <w:ind w:left="360" w:hanging="230"/>
      </w:pPr>
      <w:r>
        <w:t>Mobile behavior</w:t>
      </w:r>
    </w:p>
    <w:p>
      <w:pPr>
        <w:pStyle w:val="ListBullet"/>
        <w:spacing w:after="60"/>
        <w:ind w:left="360" w:hanging="230"/>
      </w:pPr>
      <w:r>
        <w:t>Error recovery</w:t>
      </w:r>
    </w:p>
    <w:p>
      <w:pPr>
        <w:pStyle w:val="ListBullet"/>
        <w:spacing w:after="60"/>
        <w:ind w:left="360" w:hanging="230"/>
      </w:pPr>
      <w:r>
        <w:t>Feedback submission</w:t>
      </w:r>
    </w:p>
    <w:p>
      <w:pPr>
        <w:pStyle w:val="ListBullet"/>
        <w:spacing w:after="60"/>
        <w:ind w:left="360" w:hanging="230"/>
      </w:pPr>
      <w:r>
        <w:t>Waitlist conversion</w:t>
      </w:r>
    </w:p>
    <w:p>
      <w:pPr>
        <w:pStyle w:val="Heading2"/>
      </w:pPr>
      <w:r>
        <w:t>17.60 COMMERCIAL GAPS</w:t>
      </w:r>
    </w:p>
    <w:p>
      <w:pPr>
        <w:pStyle w:val="ListBullet"/>
        <w:spacing w:after="60"/>
        <w:ind w:left="360" w:hanging="230"/>
      </w:pPr>
      <w:r>
        <w:t>Final customer offer</w:t>
      </w:r>
    </w:p>
    <w:p>
      <w:pPr>
        <w:pStyle w:val="ListBullet"/>
        <w:spacing w:after="60"/>
        <w:ind w:left="360" w:hanging="230"/>
      </w:pPr>
      <w:r>
        <w:t>Permanent pricing</w:t>
      </w:r>
    </w:p>
    <w:p>
      <w:pPr>
        <w:pStyle w:val="ListBullet"/>
        <w:spacing w:after="60"/>
        <w:ind w:left="360" w:hanging="230"/>
      </w:pPr>
      <w:r>
        <w:t>Design-partner agreement</w:t>
      </w:r>
    </w:p>
    <w:p>
      <w:pPr>
        <w:pStyle w:val="ListBullet"/>
        <w:spacing w:after="60"/>
        <w:ind w:left="360" w:hanging="230"/>
      </w:pPr>
      <w:r>
        <w:t>Product license/subscription structure</w:t>
      </w:r>
    </w:p>
    <w:p>
      <w:pPr>
        <w:pStyle w:val="ListBullet"/>
        <w:spacing w:after="60"/>
        <w:ind w:left="360" w:hanging="230"/>
      </w:pPr>
      <w:r>
        <w:t>Customer responsibility matrix</w:t>
      </w:r>
    </w:p>
    <w:p>
      <w:pPr>
        <w:pStyle w:val="ListBullet"/>
        <w:spacing w:after="60"/>
        <w:ind w:left="360" w:hanging="230"/>
      </w:pPr>
      <w:r>
        <w:t>Deployment terms</w:t>
      </w:r>
    </w:p>
    <w:p>
      <w:pPr>
        <w:pStyle w:val="ListBullet"/>
        <w:spacing w:after="60"/>
        <w:ind w:left="360" w:hanging="230"/>
      </w:pPr>
      <w:r>
        <w:t>Support terms</w:t>
      </w:r>
    </w:p>
    <w:p>
      <w:pPr>
        <w:pStyle w:val="ListBullet"/>
        <w:spacing w:after="60"/>
        <w:ind w:left="360" w:hanging="230"/>
      </w:pPr>
      <w:r>
        <w:t>Data terms</w:t>
      </w:r>
    </w:p>
    <w:p>
      <w:pPr>
        <w:pStyle w:val="ListBullet"/>
        <w:spacing w:after="60"/>
        <w:ind w:left="360" w:hanging="230"/>
      </w:pPr>
      <w:r>
        <w:t>Customer onboarding</w:t>
      </w:r>
    </w:p>
    <w:p>
      <w:pPr>
        <w:pStyle w:val="ListBullet"/>
        <w:spacing w:after="60"/>
        <w:ind w:left="360" w:hanging="230"/>
      </w:pPr>
      <w:r>
        <w:t>Sales qualification</w:t>
      </w:r>
    </w:p>
    <w:p>
      <w:pPr>
        <w:pStyle w:val="ListBullet"/>
        <w:spacing w:after="60"/>
        <w:ind w:left="360" w:hanging="230"/>
      </w:pPr>
      <w:r>
        <w:t>Marketplace packaging</w:t>
      </w:r>
    </w:p>
    <w:p>
      <w:pPr>
        <w:pStyle w:val="ListBullet"/>
        <w:spacing w:after="60"/>
        <w:ind w:left="360" w:hanging="230"/>
      </w:pPr>
      <w:r>
        <w:t>Microsoft seller collateral</w:t>
      </w:r>
    </w:p>
    <w:p>
      <w:pPr>
        <w:pStyle w:val="ListBullet"/>
        <w:spacing w:after="60"/>
        <w:ind w:left="360" w:hanging="230"/>
      </w:pPr>
      <w:r>
        <w:t>Customer case-study methodology</w:t>
      </w:r>
    </w:p>
    <w:p>
      <w:pPr>
        <w:pStyle w:val="Heading2"/>
      </w:pPr>
      <w:r>
        <w:t>17.61 NOT OUR PROBLEM — Current Deliberate Exclusions</w:t>
      </w:r>
    </w:p>
    <w:p>
      <w:pPr>
        <w:pStyle w:val="ListBullet"/>
        <w:spacing w:after="60"/>
        <w:ind w:left="360" w:hanging="230"/>
      </w:pPr>
      <w:r>
        <w:t>Timekeeping</w:t>
      </w:r>
    </w:p>
    <w:p>
      <w:pPr>
        <w:pStyle w:val="ListBullet"/>
        <w:spacing w:after="60"/>
        <w:ind w:left="360" w:hanging="230"/>
      </w:pPr>
      <w:r>
        <w:t>Trust accounting</w:t>
      </w:r>
    </w:p>
    <w:p>
      <w:pPr>
        <w:pStyle w:val="ListBullet"/>
        <w:spacing w:after="60"/>
        <w:ind w:left="360" w:hanging="230"/>
      </w:pPr>
      <w:r>
        <w:t>CRM</w:t>
      </w:r>
    </w:p>
    <w:p>
      <w:pPr>
        <w:pStyle w:val="ListBullet"/>
        <w:spacing w:after="60"/>
        <w:ind w:left="360" w:hanging="230"/>
      </w:pPr>
      <w:r>
        <w:t>Document management</w:t>
      </w:r>
    </w:p>
    <w:p>
      <w:pPr>
        <w:pStyle w:val="ListBullet"/>
        <w:spacing w:after="60"/>
        <w:ind w:left="360" w:hanging="230"/>
      </w:pPr>
      <w:r>
        <w:t>Broader medical/HIPAA product direction</w:t>
      </w:r>
    </w:p>
    <w:p>
      <w:pPr>
        <w:pStyle w:val="ListBullet"/>
        <w:spacing w:after="60"/>
        <w:ind w:left="360" w:hanging="230"/>
      </w:pPr>
      <w:r>
        <w:t>Academic product direction</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EXCLUSION PRINCIPLE</w:t>
              <w:br/>
            </w:r>
            <w:r>
              <w:t>A legal-tech capability is not automatically a DRE capability.</w:t>
            </w:r>
          </w:p>
        </w:tc>
      </w:tr>
    </w:tbl>
    <w:p/>
    <w:p>
      <w:pPr>
        <w:pStyle w:val="Heading2"/>
      </w:pPr>
      <w:r>
        <w:t>17.62 Product-Boundary Test</w:t>
      </w:r>
    </w:p>
    <w:p>
      <w:pPr>
        <w:pStyle w:val="ListBullet"/>
        <w:spacing w:after="60"/>
        <w:ind w:left="360" w:hanging="230"/>
      </w:pPr>
      <w:r>
        <w:t>Does this improve legal-billing review?</w:t>
      </w:r>
    </w:p>
    <w:p>
      <w:pPr>
        <w:pStyle w:val="ListBullet"/>
        <w:spacing w:after="60"/>
        <w:ind w:left="360" w:hanging="230"/>
      </w:pPr>
      <w:r>
        <w:t>Does it reduce review motion?</w:t>
      </w:r>
    </w:p>
    <w:p>
      <w:pPr>
        <w:pStyle w:val="ListBullet"/>
        <w:spacing w:after="60"/>
        <w:ind w:left="360" w:hanging="230"/>
      </w:pPr>
      <w:r>
        <w:t>Does it improve deterministic accuracy?</w:t>
      </w:r>
    </w:p>
    <w:p>
      <w:pPr>
        <w:pStyle w:val="ListBullet"/>
        <w:spacing w:after="60"/>
        <w:ind w:left="360" w:hanging="230"/>
      </w:pPr>
      <w:r>
        <w:t>Does it improve semantic exception handling?</w:t>
      </w:r>
    </w:p>
    <w:p>
      <w:pPr>
        <w:pStyle w:val="ListBullet"/>
        <w:spacing w:after="60"/>
        <w:ind w:left="360" w:hanging="230"/>
      </w:pPr>
      <w:r>
        <w:t>Does it improve human judgment?</w:t>
      </w:r>
    </w:p>
    <w:p>
      <w:pPr>
        <w:pStyle w:val="ListBullet"/>
        <w:spacing w:after="60"/>
        <w:ind w:left="360" w:hanging="230"/>
      </w:pPr>
      <w:r>
        <w:t>Does it improve evidence, security, deployment, or customer integration?</w:t>
      </w:r>
    </w:p>
    <w:p>
      <w:r>
        <w:t>If the answer is no, the item may belong outside DRE even if another legal-tech platform includes it.</w:t>
      </w:r>
    </w:p>
    <w:p>
      <w:pPr>
        <w:pStyle w:val="Heading2"/>
      </w:pPr>
      <w:r>
        <w:t>17.63 Backlog Evidence States</w:t>
      </w:r>
    </w:p>
    <w:p>
      <w:pPr>
        <w:pStyle w:val="ListBullet"/>
        <w:spacing w:after="60"/>
        <w:ind w:left="360" w:hanging="230"/>
      </w:pPr>
      <w:r>
        <w:t>Identified</w:t>
      </w:r>
    </w:p>
    <w:p>
      <w:pPr>
        <w:pStyle w:val="ListBullet"/>
        <w:spacing w:after="60"/>
        <w:ind w:left="360" w:hanging="230"/>
      </w:pPr>
      <w:r>
        <w:t>Researching</w:t>
      </w:r>
    </w:p>
    <w:p>
      <w:pPr>
        <w:pStyle w:val="ListBullet"/>
        <w:spacing w:after="60"/>
        <w:ind w:left="360" w:hanging="230"/>
      </w:pPr>
      <w:r>
        <w:t>Settled</w:t>
      </w:r>
    </w:p>
    <w:p>
      <w:pPr>
        <w:pStyle w:val="ListBullet"/>
        <w:spacing w:after="60"/>
        <w:ind w:left="360" w:hanging="230"/>
      </w:pPr>
      <w:r>
        <w:t>Ready to build</w:t>
      </w:r>
    </w:p>
    <w:p>
      <w:pPr>
        <w:pStyle w:val="ListBullet"/>
        <w:spacing w:after="60"/>
        <w:ind w:left="360" w:hanging="230"/>
      </w:pPr>
      <w:r>
        <w:t>In development</w:t>
      </w:r>
    </w:p>
    <w:p>
      <w:pPr>
        <w:pStyle w:val="ListBullet"/>
        <w:spacing w:after="60"/>
        <w:ind w:left="360" w:hanging="230"/>
      </w:pPr>
      <w:r>
        <w:t>Demonstrable</w:t>
      </w:r>
    </w:p>
    <w:p>
      <w:pPr>
        <w:pStyle w:val="ListBullet"/>
        <w:spacing w:after="60"/>
        <w:ind w:left="360" w:hanging="230"/>
      </w:pPr>
      <w:r>
        <w:t>Validated</w:t>
      </w:r>
    </w:p>
    <w:p>
      <w:pPr>
        <w:pStyle w:val="ListBullet"/>
        <w:spacing w:after="60"/>
        <w:ind w:left="360" w:hanging="230"/>
      </w:pPr>
      <w:r>
        <w:t>Customer-validated</w:t>
      </w:r>
    </w:p>
    <w:p>
      <w:pPr>
        <w:pStyle w:val="ListBullet"/>
        <w:spacing w:after="60"/>
        <w:ind w:left="360" w:hanging="230"/>
      </w:pPr>
      <w:r>
        <w:t>Production-ready</w:t>
      </w:r>
    </w:p>
    <w:p>
      <w:pPr>
        <w:pStyle w:val="ListBullet"/>
        <w:spacing w:after="60"/>
        <w:ind w:left="360" w:hanging="230"/>
      </w:pPr>
      <w:r>
        <w:t>Deferred</w:t>
      </w:r>
    </w:p>
    <w:p>
      <w:pPr>
        <w:pStyle w:val="ListBullet"/>
        <w:spacing w:after="60"/>
        <w:ind w:left="360" w:hanging="230"/>
      </w:pPr>
      <w:r>
        <w:t>Excluded</w:t>
      </w:r>
    </w:p>
    <w:p>
      <w:r>
        <w:t>That state is different from priority. Something can be PRODUCTION priority class but still be Identified rather than implemented. This prevents backlog language from accidentally becoming capability language.</w:t>
      </w:r>
    </w:p>
    <w:p>
      <w:pPr>
        <w:pStyle w:val="Heading2"/>
      </w:pPr>
      <w:r>
        <w:t>17.64 Backlog Completion Standard</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COMPLETION PATH</w:t>
              <w:br/>
            </w:r>
            <w:r>
              <w:t>Decision → implementation → test → evidence → documentation → customer validation.</w:t>
            </w:r>
          </w:p>
        </w:tc>
      </w:tr>
    </w:tbl>
    <w:p/>
    <w:p>
      <w:r>
        <w:t>Not every item needs every stage, but major architecture work should not disappear from the backlog before its actual exit condition is met.</w:t>
      </w:r>
    </w:p>
    <w:p>
      <w:pPr>
        <w:pStyle w:val="Heading2"/>
      </w:pPr>
      <w:r>
        <w:t>17.65 Development Backlog Principle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BACKLOG PRINCIPLE</w:t>
              <w:br/>
            </w:r>
            <w:r>
              <w:t>Build what proves the product now. Build next what evidence says matters. Build for production what enterprise operation genuinely requires. Investigate what is still uncertain. Refuse adjacent work that turns DRE into unnecessary platform scope.</w:t>
            </w:r>
          </w:p>
        </w:tc>
      </w:tr>
    </w:tbl>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PRODUCT LEARNING CHAIN</w:t>
              <w:br/>
            </w:r>
            <w:r>
              <w:t>Complaint → underlying failed job → counterpromise → architecture requirement → product behavior → proof.</w:t>
            </w:r>
          </w:p>
        </w:tc>
      </w:tr>
    </w:tbl>
    <w:p/>
    <w:p>
      <w:r>
        <w:br w:type="page"/>
      </w:r>
    </w:p>
    <w:p>
      <w:pPr>
        <w:pStyle w:val="Heading1"/>
      </w:pPr>
      <w:r>
        <w:t>18. Operating Metrics</w:t>
      </w:r>
    </w:p>
    <w:p>
      <w:r>
        <w:t>DRE’s operating metrics should answer a more important question than whether the system is busy:</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OPERATING QUESTION</w:t>
              <w:br/>
            </w:r>
            <w:r>
              <w:t>Is DRE making legal-billing review more controlled, more understandable, and less dependent on unnecessary human motion while preserving human authority where judgment is actually required?</w:t>
            </w:r>
          </w:p>
        </w:tc>
      </w:tr>
    </w:tbl>
    <w:p/>
    <w:p>
      <w:r>
        <w:t>More transactions processed, more AI calls, more rule hits, or more proposed adjustments are not automatically evidence of a better legal-billing operation.</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MEASUREMENT CHAIN</w:t>
              <w:br/>
            </w:r>
            <w:r>
              <w:t>Input → deterministic review → exception handling → consensus → human review → disposition → customer outcome.</w:t>
            </w:r>
          </w:p>
        </w:tc>
      </w:tr>
    </w:tbl>
    <w:p/>
    <w:p>
      <w:pPr>
        <w:pStyle w:val="Heading2"/>
      </w:pPr>
      <w:r>
        <w:t>18.1 The Measurement Model</w:t>
      </w:r>
    </w:p>
    <w:p>
      <w:r>
        <w:t>DRE should measure four distinct layers of performance.</w:t>
      </w:r>
    </w:p>
    <w:tbl>
      <w:tblPr>
        <w:tblStyle w:val="TableGrid"/>
        <w:tblW w:type="auto" w:w="0"/>
        <w:jc w:val="center"/>
        <w:tblLook w:firstColumn="1" w:firstRow="1" w:lastColumn="0" w:lastRow="0" w:noHBand="0" w:noVBand="1" w:val="04A0"/>
      </w:tblPr>
      <w:tblGrid>
        <w:gridCol w:w="3293"/>
        <w:gridCol w:w="3293"/>
        <w:gridCol w:w="3293"/>
      </w:tblGrid>
      <w:tr>
        <w:tc>
          <w:tcPr>
            <w:tcW w:type="dxa" w:w="3293"/>
            <w:vAlign w:val="center"/>
            <w:tcMar>
              <w:top w:w="105" w:type="dxa"/>
              <w:start w:w="105" w:type="dxa"/>
              <w:bottom w:w="105" w:type="dxa"/>
              <w:end w:w="105" w:type="dxa"/>
            </w:tcMar>
            <w:shd w:fill="16324F"/>
          </w:tcPr>
          <w:p>
            <w:pPr>
              <w:spacing w:after="0"/>
            </w:pPr>
            <w:r/>
            <w:r>
              <w:rPr>
                <w:rFonts w:ascii="Aptos" w:hAnsi="Aptos"/>
                <w:b/>
                <w:color w:val="FFFFFF"/>
                <w:sz w:val="16"/>
              </w:rPr>
              <w:t>MEASUREMENT LAYER</w:t>
            </w:r>
          </w:p>
        </w:tc>
        <w:tc>
          <w:tcPr>
            <w:tcW w:type="dxa" w:w="3293"/>
            <w:vAlign w:val="center"/>
            <w:tcMar>
              <w:top w:w="105" w:type="dxa"/>
              <w:start w:w="105" w:type="dxa"/>
              <w:bottom w:w="105" w:type="dxa"/>
              <w:end w:w="105" w:type="dxa"/>
            </w:tcMar>
            <w:shd w:fill="16324F"/>
          </w:tcPr>
          <w:p>
            <w:pPr>
              <w:spacing w:after="0"/>
            </w:pPr>
            <w:r/>
            <w:r>
              <w:rPr>
                <w:rFonts w:ascii="Aptos" w:hAnsi="Aptos"/>
                <w:b/>
                <w:color w:val="FFFFFF"/>
                <w:sz w:val="16"/>
              </w:rPr>
              <w:t>CENTRAL QUESTION</w:t>
            </w:r>
          </w:p>
        </w:tc>
        <w:tc>
          <w:tcPr>
            <w:tcW w:type="dxa" w:w="3293"/>
            <w:vAlign w:val="center"/>
            <w:tcMar>
              <w:top w:w="105" w:type="dxa"/>
              <w:start w:w="105" w:type="dxa"/>
              <w:bottom w:w="105" w:type="dxa"/>
              <w:end w:w="105" w:type="dxa"/>
            </w:tcMar>
            <w:shd w:fill="16324F"/>
          </w:tcPr>
          <w:p>
            <w:pPr>
              <w:spacing w:after="0"/>
            </w:pPr>
            <w:r/>
            <w:r>
              <w:rPr>
                <w:rFonts w:ascii="Aptos" w:hAnsi="Aptos"/>
                <w:b/>
                <w:color w:val="FFFFFF"/>
                <w:sz w:val="16"/>
              </w:rPr>
              <w:t>REPRESENTATIVE EVIDENCE</w:t>
            </w:r>
          </w:p>
        </w:tc>
      </w:tr>
      <w:tr>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System</w:t>
            </w:r>
          </w:p>
        </w:tc>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Did DRE operate correctly?</w:t>
            </w:r>
          </w:p>
        </w:tc>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Processing volume, completion, failures, latency</w:t>
            </w:r>
          </w:p>
        </w:tc>
      </w:tr>
      <w:tr>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Review</w:t>
            </w:r>
          </w:p>
        </w:tc>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How was the billing population handled?</w:t>
            </w:r>
          </w:p>
        </w:tc>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Deterministic resolution, consensus volume, Human Review</w:t>
            </w:r>
          </w:p>
        </w:tc>
      </w:tr>
      <w:tr>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Decision</w:t>
            </w:r>
          </w:p>
        </w:tc>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Were DRE’s conclusions useful and supportable?</w:t>
            </w:r>
          </w:p>
        </w:tc>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Human agreement, overrides, disagreement patterns</w:t>
            </w:r>
          </w:p>
        </w:tc>
      </w:tr>
      <w:tr>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Customer</w:t>
            </w:r>
          </w:p>
        </w:tc>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Did the customer’s operation improve?</w:t>
            </w:r>
          </w:p>
        </w:tc>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Review effort, cycle time, repeat exceptions, authorized financial outcomes</w:t>
            </w:r>
          </w:p>
        </w:tc>
      </w:tr>
    </w:tbl>
    <w:p/>
    <w:p>
      <w:r>
        <w:t>These layers should not be collapsed into a single dashboard score.</w:t>
      </w:r>
    </w:p>
    <w:p>
      <w:pPr>
        <w:pStyle w:val="Heading2"/>
      </w:pPr>
      <w:r>
        <w:t>18.2 Transaction Population</w:t>
      </w:r>
    </w:p>
    <w:p>
      <w:r>
        <w:t>Every DRE run begins with a known billing population. At minimum, DRE should preserve the number of transactions received and their original billing value.</w:t>
      </w:r>
    </w:p>
    <w:p>
      <w:pPr>
        <w:pStyle w:val="ListBullet"/>
        <w:spacing w:after="60"/>
        <w:ind w:left="360" w:hanging="230"/>
      </w:pPr>
      <w:r>
        <w:t>How many required no intervention?</w:t>
      </w:r>
    </w:p>
    <w:p>
      <w:pPr>
        <w:pStyle w:val="ListBullet"/>
        <w:spacing w:after="60"/>
        <w:ind w:left="360" w:hanging="230"/>
      </w:pPr>
      <w:r>
        <w:t>How many contained deterministic policy exceptions?</w:t>
      </w:r>
    </w:p>
    <w:p>
      <w:pPr>
        <w:pStyle w:val="ListBullet"/>
        <w:spacing w:after="60"/>
        <w:ind w:left="360" w:hanging="230"/>
      </w:pPr>
      <w:r>
        <w:t>How many could be resolved by deterministic controls alone?</w:t>
      </w:r>
    </w:p>
    <w:p>
      <w:pPr>
        <w:pStyle w:val="ListBullet"/>
        <w:spacing w:after="60"/>
        <w:ind w:left="360" w:hanging="230"/>
      </w:pPr>
      <w:r>
        <w:t>How many genuinely required semantic interpretation?</w:t>
      </w:r>
    </w:p>
    <w:p>
      <w:pPr>
        <w:pStyle w:val="ListBullet"/>
        <w:spacing w:after="60"/>
        <w:ind w:left="360" w:hanging="230"/>
      </w:pPr>
      <w:r>
        <w:t>How many of those cleared consensus?</w:t>
      </w:r>
    </w:p>
    <w:p>
      <w:pPr>
        <w:pStyle w:val="ListBullet"/>
        <w:spacing w:after="60"/>
        <w:ind w:left="360" w:hanging="230"/>
      </w:pPr>
      <w:r>
        <w:t>How many ultimately required a person?</w:t>
      </w:r>
    </w:p>
    <w:p>
      <w:pPr>
        <w:pStyle w:val="Heading2"/>
      </w:pPr>
      <w:r>
        <w:t>18.3 Deterministic Review Rate</w:t>
      </w:r>
    </w:p>
    <w:p>
      <w:r>
        <w:t>The deterministic layer should have its own measurement system because it performs a fundamentally different job from the AI layer.</w:t>
      </w:r>
    </w:p>
    <w:p>
      <w:pPr>
        <w:pStyle w:val="ListBullet"/>
        <w:spacing w:after="60"/>
        <w:ind w:left="360" w:hanging="230"/>
      </w:pPr>
      <w:r>
        <w:t>Transactions evaluated deterministically</w:t>
      </w:r>
    </w:p>
    <w:p>
      <w:pPr>
        <w:pStyle w:val="ListBullet"/>
        <w:spacing w:after="60"/>
        <w:ind w:left="360" w:hanging="230"/>
      </w:pPr>
      <w:r>
        <w:t>Deterministic rule hits</w:t>
      </w:r>
    </w:p>
    <w:p>
      <w:pPr>
        <w:pStyle w:val="ListBullet"/>
        <w:spacing w:after="60"/>
        <w:ind w:left="360" w:hanging="230"/>
      </w:pPr>
      <w:r>
        <w:t>Transactions modified through deterministic rules</w:t>
      </w:r>
    </w:p>
    <w:p>
      <w:pPr>
        <w:pStyle w:val="ListBullet"/>
        <w:spacing w:after="60"/>
        <w:ind w:left="360" w:hanging="230"/>
      </w:pPr>
      <w:r>
        <w:t>Transactions exiting without semantic review</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STRATEGIC MEASURE</w:t>
              <w:br/>
            </w:r>
            <w:r>
              <w:t>Of the transactions entering DRE, what percentage can be handled without invoking AI or requiring human judgment?</w:t>
            </w:r>
          </w:p>
        </w:tc>
      </w:tr>
    </w:tbl>
    <w:p/>
    <w:p>
      <w:pPr>
        <w:pStyle w:val="Heading2"/>
      </w:pPr>
      <w:r>
        <w:t>18.4 Rule Performance</w:t>
      </w:r>
    </w:p>
    <w:p>
      <w:r>
        <w:t>Individual deterministic rules should eventually become measurable units.</w:t>
      </w:r>
    </w:p>
    <w:p>
      <w:pPr>
        <w:pStyle w:val="ListBullet"/>
        <w:spacing w:after="60"/>
        <w:ind w:left="360" w:hanging="230"/>
      </w:pPr>
      <w:r>
        <w:t>How often the rule fires</w:t>
      </w:r>
    </w:p>
    <w:p>
      <w:pPr>
        <w:pStyle w:val="ListBullet"/>
        <w:spacing w:after="60"/>
        <w:ind w:left="360" w:hanging="230"/>
      </w:pPr>
      <w:r>
        <w:t>Billing population affected</w:t>
      </w:r>
    </w:p>
    <w:p>
      <w:pPr>
        <w:pStyle w:val="ListBullet"/>
        <w:spacing w:after="60"/>
        <w:ind w:left="360" w:hanging="230"/>
      </w:pPr>
      <w:r>
        <w:t>Billing value associated with the finding</w:t>
      </w:r>
    </w:p>
    <w:p>
      <w:pPr>
        <w:pStyle w:val="ListBullet"/>
        <w:spacing w:after="60"/>
        <w:ind w:left="360" w:hanging="230"/>
      </w:pPr>
      <w:r>
        <w:t>Whether the action is accepted or overridden</w:t>
      </w:r>
    </w:p>
    <w:p>
      <w:pPr>
        <w:pStyle w:val="ListBullet"/>
        <w:spacing w:after="60"/>
        <w:ind w:left="360" w:hanging="230"/>
      </w:pPr>
      <w:r>
        <w:t>Repeated false positives</w:t>
      </w:r>
    </w:p>
    <w:p>
      <w:pPr>
        <w:pStyle w:val="ListBullet"/>
        <w:spacing w:after="60"/>
        <w:ind w:left="360" w:hanging="230"/>
      </w:pPr>
      <w:r>
        <w:t>Customer or matter differences</w:t>
      </w:r>
    </w:p>
    <w:p>
      <w:pPr>
        <w:pStyle w:val="Heading2"/>
      </w:pPr>
      <w:r>
        <w:t>18.5 Consensus Utilization</w:t>
      </w:r>
    </w:p>
    <w:p>
      <w:r>
        <w:t>Consensus should be measured as an exception-processing layer, not as a sign that the product is using more AI.</w:t>
      </w:r>
    </w:p>
    <w:p>
      <w:pPr>
        <w:pStyle w:val="ListBullet"/>
        <w:spacing w:after="60"/>
        <w:ind w:left="360" w:hanging="230"/>
      </w:pPr>
      <w:r>
        <w:t>Reached agreement</w:t>
      </w:r>
    </w:p>
    <w:p>
      <w:pPr>
        <w:pStyle w:val="ListBullet"/>
        <w:spacing w:after="60"/>
        <w:ind w:left="360" w:hanging="230"/>
      </w:pPr>
      <w:r>
        <w:t>Required modification</w:t>
      </w:r>
    </w:p>
    <w:p>
      <w:pPr>
        <w:pStyle w:val="ListBullet"/>
        <w:spacing w:after="60"/>
        <w:ind w:left="360" w:hanging="230"/>
      </w:pPr>
      <w:r>
        <w:t>Produced rejection</w:t>
      </w:r>
    </w:p>
    <w:p>
      <w:pPr>
        <w:pStyle w:val="ListBullet"/>
        <w:spacing w:after="60"/>
        <w:ind w:left="360" w:hanging="230"/>
      </w:pPr>
      <w:r>
        <w:t>Encountered disagreement</w:t>
      </w:r>
    </w:p>
    <w:p>
      <w:pPr>
        <w:pStyle w:val="ListBullet"/>
        <w:spacing w:after="60"/>
        <w:ind w:left="360" w:hanging="230"/>
      </w:pPr>
      <w:r>
        <w:t>Failed technically</w:t>
      </w:r>
    </w:p>
    <w:p>
      <w:pPr>
        <w:pStyle w:val="ListBullet"/>
        <w:spacing w:after="60"/>
        <w:ind w:left="360" w:hanging="230"/>
      </w:pPr>
      <w:r>
        <w:t>Escalated to Human Review</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PRINCIPAL QUESTION</w:t>
              <w:br/>
            </w:r>
            <w:r>
              <w:t>Of the billing population, how much actually required semantic analysis after deterministic review?</w:t>
            </w:r>
          </w:p>
        </w:tc>
      </w:tr>
    </w:tbl>
    <w:p/>
    <w:p>
      <w:pPr>
        <w:pStyle w:val="Heading2"/>
      </w:pPr>
      <w:r>
        <w:t>18.6 Consensus Agreement and Disagreement</w:t>
      </w:r>
    </w:p>
    <w:p>
      <w:r>
        <w:t>DRE’s consensus architecture creates a particularly useful class of evidence: disagreement itself.</w:t>
      </w:r>
    </w:p>
    <w:p>
      <w:pPr>
        <w:pStyle w:val="ListBullet"/>
        <w:spacing w:after="60"/>
        <w:ind w:left="360" w:hanging="230"/>
      </w:pPr>
      <w:r>
        <w:t>Agent agreement rate</w:t>
      </w:r>
    </w:p>
    <w:p>
      <w:pPr>
        <w:pStyle w:val="ListBullet"/>
        <w:spacing w:after="60"/>
        <w:ind w:left="360" w:hanging="230"/>
      </w:pPr>
      <w:r>
        <w:t>Modification agreement</w:t>
      </w:r>
    </w:p>
    <w:p>
      <w:pPr>
        <w:pStyle w:val="ListBullet"/>
        <w:spacing w:after="60"/>
        <w:ind w:left="360" w:hanging="230"/>
      </w:pPr>
      <w:r>
        <w:t>Rejection agreement</w:t>
      </w:r>
    </w:p>
    <w:p>
      <w:pPr>
        <w:pStyle w:val="ListBullet"/>
        <w:spacing w:after="60"/>
        <w:ind w:left="360" w:hanging="230"/>
      </w:pPr>
      <w:r>
        <w:t>Split-vote frequency</w:t>
      </w:r>
    </w:p>
    <w:p>
      <w:pPr>
        <w:pStyle w:val="ListBullet"/>
        <w:spacing w:after="60"/>
        <w:ind w:left="360" w:hanging="230"/>
      </w:pPr>
      <w:r>
        <w:t>Confidence distribution</w:t>
      </w:r>
    </w:p>
    <w:p>
      <w:pPr>
        <w:pStyle w:val="ListBullet"/>
        <w:spacing w:after="60"/>
        <w:ind w:left="360" w:hanging="230"/>
      </w:pPr>
      <w:r>
        <w:t>Disagreement by exception type</w:t>
      </w:r>
    </w:p>
    <w:p>
      <w:pPr>
        <w:pStyle w:val="ListBullet"/>
        <w:spacing w:after="60"/>
        <w:ind w:left="360" w:hanging="230"/>
      </w:pPr>
      <w:r>
        <w:t>Round-to-round stability when implemented</w:t>
      </w:r>
    </w:p>
    <w:p>
      <w:pPr>
        <w:pStyle w:val="Heading2"/>
      </w:pPr>
      <w:r>
        <w:t>18.7 Human Review Rate</w:t>
      </w:r>
    </w:p>
    <w:p>
      <w:r>
        <w:t>Human Review is one of DRE’s central operating measures.</w:t>
      </w:r>
    </w:p>
    <w:p>
      <w:pPr>
        <w:pStyle w:val="ListBullet"/>
        <w:spacing w:after="60"/>
        <w:ind w:left="360" w:hanging="230"/>
      </w:pPr>
      <w:r>
        <w:t>Semantic disagreement</w:t>
      </w:r>
    </w:p>
    <w:p>
      <w:pPr>
        <w:pStyle w:val="ListBullet"/>
        <w:spacing w:after="60"/>
        <w:ind w:left="360" w:hanging="230"/>
      </w:pPr>
      <w:r>
        <w:t>Insufficient information</w:t>
      </w:r>
    </w:p>
    <w:p>
      <w:pPr>
        <w:pStyle w:val="ListBullet"/>
        <w:spacing w:after="60"/>
        <w:ind w:left="360" w:hanging="230"/>
      </w:pPr>
      <w:r>
        <w:t>Authorized exception</w:t>
      </w:r>
    </w:p>
    <w:p>
      <w:pPr>
        <w:pStyle w:val="ListBullet"/>
        <w:spacing w:after="60"/>
        <w:ind w:left="360" w:hanging="230"/>
      </w:pPr>
      <w:r>
        <w:t>Policy ambiguity</w:t>
      </w:r>
    </w:p>
    <w:p>
      <w:pPr>
        <w:pStyle w:val="ListBullet"/>
        <w:spacing w:after="60"/>
        <w:ind w:left="360" w:hanging="230"/>
      </w:pPr>
      <w:r>
        <w:t>Technical failure</w:t>
      </w:r>
    </w:p>
    <w:p>
      <w:pPr>
        <w:pStyle w:val="ListBullet"/>
        <w:spacing w:after="60"/>
        <w:ind w:left="360" w:hanging="230"/>
      </w:pPr>
      <w:r>
        <w:t>High-risk condition</w:t>
      </w:r>
    </w:p>
    <w:p>
      <w:pPr>
        <w:pStyle w:val="ListBullet"/>
        <w:spacing w:after="60"/>
        <w:ind w:left="360" w:hanging="230"/>
      </w:pPr>
      <w:r>
        <w:t>Intentionally human-controlled decision</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HUMAN REVIEW MEASURE</w:t>
              <w:br/>
            </w:r>
            <w:r>
              <w:t>Of everything DRE reviewed, what percentage ultimately required authorized human attention?</w:t>
            </w:r>
          </w:p>
        </w:tc>
      </w:tr>
    </w:tbl>
    <w:p/>
    <w:p>
      <w:r>
        <w:t>DRE therefore needs to measure both how much human review occurs and why it occurs.</w:t>
      </w:r>
    </w:p>
    <w:p>
      <w:pPr>
        <w:pStyle w:val="Heading2"/>
      </w:pPr>
      <w:r>
        <w:t>18.8 Human Agreement and Override</w:t>
      </w:r>
    </w:p>
    <w:p>
      <w:r>
        <w:t>Once authorized humans begin making real dispositions, DRE gains one of its strongest sources of product evidence.</w:t>
      </w:r>
    </w:p>
    <w:p>
      <w:pPr>
        <w:pStyle w:val="ListBullet"/>
        <w:spacing w:after="60"/>
        <w:ind w:left="360" w:hanging="230"/>
      </w:pPr>
      <w:r>
        <w:t>Accepted as presented</w:t>
      </w:r>
    </w:p>
    <w:p>
      <w:pPr>
        <w:pStyle w:val="ListBullet"/>
        <w:spacing w:after="60"/>
        <w:ind w:left="360" w:hanging="230"/>
      </w:pPr>
      <w:r>
        <w:t>Modified by reviewer</w:t>
      </w:r>
    </w:p>
    <w:p>
      <w:pPr>
        <w:pStyle w:val="ListBullet"/>
        <w:spacing w:after="60"/>
        <w:ind w:left="360" w:hanging="230"/>
      </w:pPr>
      <w:r>
        <w:t>Rejected by reviewer</w:t>
      </w:r>
    </w:p>
    <w:p>
      <w:pPr>
        <w:pStyle w:val="ListBullet"/>
        <w:spacing w:after="60"/>
        <w:ind w:left="360" w:hanging="230"/>
      </w:pPr>
      <w:r>
        <w:t>Additional information required</w:t>
      </w:r>
    </w:p>
    <w:p>
      <w:pPr>
        <w:pStyle w:val="ListBullet"/>
        <w:spacing w:after="60"/>
        <w:ind w:left="360" w:hanging="230"/>
      </w:pPr>
      <w:r>
        <w:t>Authorized exception applied</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FEEDBACK CYCLE</w:t>
              <w:br/>
            </w:r>
            <w:r>
              <w:t>DRE recommendation → human disposition → disagreement analysis → rule/model/product evaluation → validated improvement.</w:t>
            </w:r>
          </w:p>
        </w:tc>
      </w:tr>
    </w:tbl>
    <w:p/>
    <w:p>
      <w:pPr>
        <w:pStyle w:val="Heading2"/>
      </w:pPr>
      <w:r>
        <w:t>18.9 Human Review Burden</w:t>
      </w:r>
    </w:p>
    <w:p>
      <w:r>
        <w:t>DRE should eventually measure more than the number of transactions sent to a person.</w:t>
      </w:r>
    </w:p>
    <w:p>
      <w:pPr>
        <w:pStyle w:val="ListBullet"/>
        <w:spacing w:after="60"/>
        <w:ind w:left="360" w:hanging="230"/>
      </w:pPr>
      <w:r>
        <w:t>Number of Human Review transactions</w:t>
      </w:r>
    </w:p>
    <w:p>
      <w:pPr>
        <w:pStyle w:val="ListBullet"/>
        <w:spacing w:after="60"/>
        <w:ind w:left="360" w:hanging="230"/>
      </w:pPr>
      <w:r>
        <w:t>Review time</w:t>
      </w:r>
    </w:p>
    <w:p>
      <w:pPr>
        <w:pStyle w:val="ListBullet"/>
        <w:spacing w:after="60"/>
        <w:ind w:left="360" w:hanging="230"/>
      </w:pPr>
      <w:r>
        <w:t>Number of actions required</w:t>
      </w:r>
    </w:p>
    <w:p>
      <w:pPr>
        <w:pStyle w:val="ListBullet"/>
        <w:spacing w:after="60"/>
        <w:ind w:left="360" w:hanging="230"/>
      </w:pPr>
      <w:r>
        <w:t>Additional information requests</w:t>
      </w:r>
    </w:p>
    <w:p>
      <w:pPr>
        <w:pStyle w:val="ListBullet"/>
        <w:spacing w:after="60"/>
        <w:ind w:left="360" w:hanging="230"/>
      </w:pPr>
      <w:r>
        <w:t>Repeat handling</w:t>
      </w:r>
    </w:p>
    <w:p>
      <w:pPr>
        <w:pStyle w:val="ListBullet"/>
        <w:spacing w:after="60"/>
        <w:ind w:left="360" w:hanging="230"/>
      </w:pPr>
      <w:r>
        <w:t>Unresolved cases</w:t>
      </w:r>
    </w:p>
    <w:p>
      <w:pPr>
        <w:pStyle w:val="ListBullet"/>
        <w:spacing w:after="60"/>
        <w:ind w:left="360" w:hanging="230"/>
      </w:pPr>
      <w:r>
        <w:t>Reviewer reassignment</w:t>
      </w:r>
    </w:p>
    <w:p>
      <w:pPr>
        <w:pStyle w:val="ListBullet"/>
        <w:spacing w:after="60"/>
        <w:ind w:left="360" w:hanging="230"/>
      </w:pPr>
      <w:r>
        <w:t>Time to final disposition</w:t>
      </w:r>
    </w:p>
    <w:p>
      <w:pPr>
        <w:pStyle w:val="Heading2"/>
      </w:pPr>
      <w:r>
        <w:t>18.10 Processing Time</w:t>
      </w:r>
    </w:p>
    <w:p>
      <w:r>
        <w:t>Processing time should be measured at both batch and transaction level.</w:t>
      </w:r>
    </w:p>
    <w:p>
      <w:pPr>
        <w:pStyle w:val="ListBullet"/>
        <w:spacing w:after="60"/>
        <w:ind w:left="360" w:hanging="230"/>
      </w:pPr>
      <w:r>
        <w:t>Intake</w:t>
      </w:r>
    </w:p>
    <w:p>
      <w:pPr>
        <w:pStyle w:val="ListBullet"/>
        <w:spacing w:after="60"/>
        <w:ind w:left="360" w:hanging="230"/>
      </w:pPr>
      <w:r>
        <w:t>Deterministic processing</w:t>
      </w:r>
    </w:p>
    <w:p>
      <w:pPr>
        <w:pStyle w:val="ListBullet"/>
        <w:spacing w:after="60"/>
        <w:ind w:left="360" w:hanging="230"/>
      </w:pPr>
      <w:r>
        <w:t>Consensus processing</w:t>
      </w:r>
    </w:p>
    <w:p>
      <w:pPr>
        <w:pStyle w:val="ListBullet"/>
        <w:spacing w:after="60"/>
        <w:ind w:left="360" w:hanging="230"/>
      </w:pPr>
      <w:r>
        <w:t>Human Review waiting</w:t>
      </w:r>
    </w:p>
    <w:p>
      <w:pPr>
        <w:pStyle w:val="ListBullet"/>
        <w:spacing w:after="60"/>
        <w:ind w:left="360" w:hanging="230"/>
      </w:pPr>
      <w:r>
        <w:t>Final disposition</w:t>
      </w:r>
    </w:p>
    <w:p>
      <w:pPr>
        <w:pStyle w:val="Heading2"/>
      </w:pPr>
      <w:r>
        <w:t>18.11 Exception Rate</w:t>
      </w:r>
    </w:p>
    <w:p>
      <w:r>
        <w:t>The exception rate measures how much of the submitted billing population does not simply clear review.</w:t>
      </w:r>
    </w:p>
    <w:p>
      <w:pPr>
        <w:pStyle w:val="ListBullet"/>
        <w:spacing w:after="60"/>
        <w:ind w:left="360" w:hanging="230"/>
      </w:pPr>
      <w:r>
        <w:t>OCG rule</w:t>
      </w:r>
    </w:p>
    <w:p>
      <w:pPr>
        <w:pStyle w:val="ListBullet"/>
        <w:spacing w:after="60"/>
        <w:ind w:left="360" w:hanging="230"/>
      </w:pPr>
      <w:r>
        <w:t>Matter</w:t>
      </w:r>
    </w:p>
    <w:p>
      <w:pPr>
        <w:pStyle w:val="ListBullet"/>
        <w:spacing w:after="60"/>
        <w:ind w:left="360" w:hanging="230"/>
      </w:pPr>
      <w:r>
        <w:t>Outside counsel</w:t>
      </w:r>
    </w:p>
    <w:p>
      <w:pPr>
        <w:pStyle w:val="ListBullet"/>
        <w:spacing w:after="60"/>
        <w:ind w:left="360" w:hanging="230"/>
      </w:pPr>
      <w:r>
        <w:t>Timekeeper classification</w:t>
      </w:r>
    </w:p>
    <w:p>
      <w:pPr>
        <w:pStyle w:val="ListBullet"/>
        <w:spacing w:after="60"/>
        <w:ind w:left="360" w:hanging="230"/>
      </w:pPr>
      <w:r>
        <w:t>Billing category</w:t>
      </w:r>
    </w:p>
    <w:p>
      <w:pPr>
        <w:pStyle w:val="ListBullet"/>
        <w:spacing w:after="60"/>
        <w:ind w:left="360" w:hanging="230"/>
      </w:pPr>
      <w:r>
        <w:t>Exception type</w:t>
      </w:r>
    </w:p>
    <w:p>
      <w:pPr>
        <w:pStyle w:val="ListBullet"/>
        <w:spacing w:after="60"/>
        <w:ind w:left="360" w:hanging="230"/>
      </w:pPr>
      <w:r>
        <w:t>Customer policy</w:t>
      </w:r>
    </w:p>
    <w:p>
      <w:pPr>
        <w:pStyle w:val="ListBullet"/>
        <w:spacing w:after="60"/>
        <w:ind w:left="360" w:hanging="230"/>
      </w:pPr>
      <w:r>
        <w:t>Period</w:t>
      </w:r>
    </w:p>
    <w:p>
      <w:pPr>
        <w:pStyle w:val="Heading2"/>
      </w:pPr>
      <w:r>
        <w:t>18.12 Repeat Exception Patterns</w:t>
      </w:r>
    </w:p>
    <w:p>
      <w:r>
        <w:t>Repeat exceptions are one of the strongest candidates for long-term customer value.</w:t>
      </w:r>
    </w:p>
    <w:p>
      <w:pPr>
        <w:pStyle w:val="ListBullet"/>
        <w:spacing w:after="60"/>
        <w:ind w:left="360" w:hanging="230"/>
      </w:pPr>
      <w:r>
        <w:t>Same rule</w:t>
      </w:r>
    </w:p>
    <w:p>
      <w:pPr>
        <w:pStyle w:val="ListBullet"/>
        <w:spacing w:after="60"/>
        <w:ind w:left="360" w:hanging="230"/>
      </w:pPr>
      <w:r>
        <w:t>Same firm</w:t>
      </w:r>
    </w:p>
    <w:p>
      <w:pPr>
        <w:pStyle w:val="ListBullet"/>
        <w:spacing w:after="60"/>
        <w:ind w:left="360" w:hanging="230"/>
      </w:pPr>
      <w:r>
        <w:t>Same matter</w:t>
      </w:r>
    </w:p>
    <w:p>
      <w:pPr>
        <w:pStyle w:val="ListBullet"/>
        <w:spacing w:after="60"/>
        <w:ind w:left="360" w:hanging="230"/>
      </w:pPr>
      <w:r>
        <w:t>Same timekeeper</w:t>
      </w:r>
    </w:p>
    <w:p>
      <w:pPr>
        <w:pStyle w:val="ListBullet"/>
        <w:spacing w:after="60"/>
        <w:ind w:left="360" w:hanging="230"/>
      </w:pPr>
      <w:r>
        <w:t>Same activity</w:t>
      </w:r>
    </w:p>
    <w:p>
      <w:pPr>
        <w:pStyle w:val="ListBullet"/>
        <w:spacing w:after="60"/>
        <w:ind w:left="360" w:hanging="230"/>
      </w:pPr>
      <w:r>
        <w:t>Repeated period</w:t>
      </w:r>
    </w:p>
    <w:p>
      <w:pPr>
        <w:pStyle w:val="Heading2"/>
      </w:pPr>
      <w:r>
        <w:t>18.13 Financial Measurement</w:t>
      </w:r>
    </w:p>
    <w:p>
      <w:r>
        <w:t>Financial metrics require the strongest terminology discipline in the operating system.</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FINANCIAL STATE</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MEANING</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Original billed value</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Amount received by DRE</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Identified exception value</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Amount associated with a detected issue</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Proposed adjustment</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DRE-calculated or recommended change</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Authorized adjustment</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Change approved by authorized reviewer</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Final disposition value</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Amount after authorized review</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Realized outcome</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Financial effect established by the customer’s actual downstream process</w:t>
            </w:r>
          </w:p>
        </w:tc>
      </w:tr>
    </w:tbl>
    <w:p/>
    <w:p>
      <w:r>
        <w:t>Keeping those states separate protects DRE’s credibility.</w:t>
      </w:r>
    </w:p>
    <w:p>
      <w:pPr>
        <w:pStyle w:val="Heading2"/>
      </w:pPr>
      <w:r>
        <w:t>18.14 Proposed Adjustment Rate</w:t>
      </w:r>
    </w:p>
    <w:p>
      <w:r>
        <w:t>The proposed adjustment rate can show what percentage of reviewed billing value DRE identifies for potential modification.</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STRONGER METRIC</w:t>
              <w:br/>
            </w:r>
            <w:r>
              <w:t>Proposed adjustment → authorized disposition → final outcome.</w:t>
            </w:r>
          </w:p>
        </w:tc>
      </w:tr>
    </w:tbl>
    <w:p/>
    <w:p>
      <w:r>
        <w:t>A product that proposes larger adjustments is not necessarily better.</w:t>
      </w:r>
    </w:p>
    <w:p>
      <w:pPr>
        <w:pStyle w:val="Heading2"/>
      </w:pPr>
      <w:r>
        <w:t>18.15 Override Economics</w:t>
      </w:r>
    </w:p>
    <w:p>
      <w:r>
        <w:t>Human overrides should also be measurable financially.</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STATE</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EXAMPLE</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Proposed adjustment</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$500</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Authorized adjustment</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$200</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Difference between automated proposal and authorized decision</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$300</w:t>
            </w:r>
          </w:p>
        </w:tc>
      </w:tr>
    </w:tbl>
    <w:p/>
    <w:p>
      <w:r>
        <w:t>Across a larger population, that becomes calibration evidence for deterministic rules, consensus behavior, and customer-specific configuration.</w:t>
      </w:r>
    </w:p>
    <w:p>
      <w:pPr>
        <w:pStyle w:val="Heading2"/>
      </w:pPr>
      <w:r>
        <w:t>18.16 Customer Outcome Metrics</w:t>
      </w:r>
    </w:p>
    <w:p>
      <w:r>
        <w:t>The most important DRE metrics eventually sit beyond the immediate processing engine.</w:t>
      </w:r>
    </w:p>
    <w:p>
      <w:pPr>
        <w:pStyle w:val="ListBullet"/>
        <w:spacing w:after="60"/>
        <w:ind w:left="360" w:hanging="230"/>
      </w:pPr>
      <w:r>
        <w:t>Reduction in billing items requiring manual review</w:t>
      </w:r>
    </w:p>
    <w:p>
      <w:pPr>
        <w:pStyle w:val="ListBullet"/>
        <w:spacing w:after="60"/>
        <w:ind w:left="360" w:hanging="230"/>
      </w:pPr>
      <w:r>
        <w:t>Reduction in reviewer time</w:t>
      </w:r>
    </w:p>
    <w:p>
      <w:pPr>
        <w:pStyle w:val="ListBullet"/>
        <w:spacing w:after="60"/>
        <w:ind w:left="360" w:hanging="230"/>
      </w:pPr>
      <w:r>
        <w:t>Faster review cycle</w:t>
      </w:r>
    </w:p>
    <w:p>
      <w:pPr>
        <w:pStyle w:val="ListBullet"/>
        <w:spacing w:after="60"/>
        <w:ind w:left="360" w:hanging="230"/>
      </w:pPr>
      <w:r>
        <w:t>More consistent OCG treatment</w:t>
      </w:r>
    </w:p>
    <w:p>
      <w:pPr>
        <w:pStyle w:val="ListBullet"/>
        <w:spacing w:after="60"/>
        <w:ind w:left="360" w:hanging="230"/>
      </w:pPr>
      <w:r>
        <w:t>Fewer repeated billing exceptions</w:t>
      </w:r>
    </w:p>
    <w:p>
      <w:pPr>
        <w:pStyle w:val="ListBullet"/>
        <w:spacing w:after="60"/>
        <w:ind w:left="360" w:hanging="230"/>
      </w:pPr>
      <w:r>
        <w:t>Improved visibility into outside-counsel billing behavior</w:t>
      </w:r>
    </w:p>
    <w:p>
      <w:pPr>
        <w:pStyle w:val="ListBullet"/>
        <w:spacing w:after="60"/>
        <w:ind w:left="360" w:hanging="230"/>
      </w:pPr>
      <w:r>
        <w:t>Reduced rework or billing back-and-forth</w:t>
      </w:r>
    </w:p>
    <w:p>
      <w:pPr>
        <w:pStyle w:val="ListBullet"/>
        <w:spacing w:after="60"/>
        <w:ind w:left="360" w:hanging="230"/>
      </w:pPr>
      <w:r>
        <w:t>Stronger audit evidence</w:t>
      </w:r>
    </w:p>
    <w:p>
      <w:pPr>
        <w:pStyle w:val="ListBullet"/>
        <w:spacing w:after="60"/>
        <w:ind w:left="360" w:hanging="230"/>
      </w:pPr>
      <w:r>
        <w:t>Authorized financial adjustments</w:t>
      </w:r>
    </w:p>
    <w:p>
      <w:pPr>
        <w:pStyle w:val="ListBullet"/>
        <w:spacing w:after="60"/>
        <w:ind w:left="360" w:hanging="230"/>
      </w:pPr>
      <w:r>
        <w:t>Improved reviewer confidence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OUTCOME COMPARISON</w:t>
              <w:br/>
            </w:r>
            <w:r>
              <w:t>Before DRE → After DRE.</w:t>
            </w:r>
          </w:p>
        </w:tc>
      </w:tr>
    </w:tbl>
    <w:p/>
    <w:p>
      <w:pPr>
        <w:pStyle w:val="Heading2"/>
      </w:pPr>
      <w:r>
        <w:t>18.17 Customer Baseline</w:t>
      </w:r>
    </w:p>
    <w:p>
      <w:r>
        <w:t>A customer baseline does not need to become a massive consulting exercise.</w:t>
      </w:r>
    </w:p>
    <w:p>
      <w:pPr>
        <w:pStyle w:val="ListBullet"/>
        <w:spacing w:after="60"/>
        <w:ind w:left="360" w:hanging="230"/>
      </w:pPr>
      <w:r>
        <w:t>How many invoices or billing transactions are reviewed?</w:t>
      </w:r>
    </w:p>
    <w:p>
      <w:pPr>
        <w:pStyle w:val="ListBullet"/>
        <w:spacing w:after="60"/>
        <w:ind w:left="360" w:hanging="230"/>
      </w:pPr>
      <w:r>
        <w:t>How much time is spent reviewing them?</w:t>
      </w:r>
    </w:p>
    <w:p>
      <w:pPr>
        <w:pStyle w:val="ListBullet"/>
        <w:spacing w:after="60"/>
        <w:ind w:left="360" w:hanging="230"/>
      </w:pPr>
      <w:r>
        <w:t>How many people participate?</w:t>
      </w:r>
    </w:p>
    <w:p>
      <w:pPr>
        <w:pStyle w:val="ListBullet"/>
        <w:spacing w:after="60"/>
        <w:ind w:left="360" w:hanging="230"/>
      </w:pPr>
      <w:r>
        <w:t>How many items are challenged?</w:t>
      </w:r>
    </w:p>
    <w:p>
      <w:pPr>
        <w:pStyle w:val="ListBullet"/>
        <w:spacing w:after="60"/>
        <w:ind w:left="360" w:hanging="230"/>
      </w:pPr>
      <w:r>
        <w:t>How long does approval take?</w:t>
      </w:r>
    </w:p>
    <w:p>
      <w:pPr>
        <w:pStyle w:val="ListBullet"/>
        <w:spacing w:after="60"/>
        <w:ind w:left="360" w:hanging="230"/>
      </w:pPr>
      <w:r>
        <w:t>What types of exceptions recur?</w:t>
      </w:r>
    </w:p>
    <w:p>
      <w:pPr>
        <w:pStyle w:val="ListBullet"/>
        <w:spacing w:after="60"/>
        <w:ind w:left="360" w:hanging="230"/>
      </w:pPr>
      <w:r>
        <w:t>How are OCG decisions documented?</w:t>
      </w:r>
    </w:p>
    <w:p>
      <w:pPr>
        <w:pStyle w:val="ListBullet"/>
        <w:spacing w:after="60"/>
        <w:ind w:left="360" w:hanging="230"/>
      </w:pPr>
      <w:r>
        <w:t>How much billing is adjusted after review?</w:t>
      </w:r>
    </w:p>
    <w:p>
      <w:pPr>
        <w:pStyle w:val="ListBullet"/>
        <w:spacing w:after="60"/>
        <w:ind w:left="360" w:hanging="230"/>
      </w:pPr>
      <w:r>
        <w:t>Where does rework occur?</w:t>
      </w:r>
    </w:p>
    <w:p>
      <w:pPr>
        <w:pStyle w:val="Heading2"/>
      </w:pPr>
      <w:r>
        <w:t>18.18 Product-Experience Metrics</w:t>
      </w:r>
    </w:p>
    <w:p>
      <w:r>
        <w:t>The public demonstration and early-access website produce a separate class of operating metrics.</w:t>
      </w:r>
    </w:p>
    <w:p>
      <w:pPr>
        <w:pStyle w:val="ListBullet"/>
        <w:spacing w:after="60"/>
        <w:ind w:left="360" w:hanging="230"/>
      </w:pPr>
      <w:r>
        <w:t>Demo starts</w:t>
      </w:r>
    </w:p>
    <w:p>
      <w:pPr>
        <w:pStyle w:val="ListBullet"/>
        <w:spacing w:after="60"/>
        <w:ind w:left="360" w:hanging="230"/>
      </w:pPr>
      <w:r>
        <w:t>Successful runs</w:t>
      </w:r>
    </w:p>
    <w:p>
      <w:pPr>
        <w:pStyle w:val="ListBullet"/>
        <w:spacing w:after="60"/>
        <w:ind w:left="360" w:hanging="230"/>
      </w:pPr>
      <w:r>
        <w:t>Result views</w:t>
      </w:r>
    </w:p>
    <w:p>
      <w:pPr>
        <w:pStyle w:val="ListBullet"/>
        <w:spacing w:after="60"/>
        <w:ind w:left="360" w:hanging="230"/>
      </w:pPr>
      <w:r>
        <w:t>Downloads</w:t>
      </w:r>
    </w:p>
    <w:p>
      <w:pPr>
        <w:pStyle w:val="ListBullet"/>
        <w:spacing w:after="60"/>
        <w:ind w:left="360" w:hanging="230"/>
      </w:pPr>
      <w:r>
        <w:t>Feedback</w:t>
      </w:r>
    </w:p>
    <w:p>
      <w:pPr>
        <w:pStyle w:val="ListBullet"/>
        <w:spacing w:after="60"/>
        <w:ind w:left="360" w:hanging="230"/>
      </w:pPr>
      <w:r>
        <w:t>Waitlist</w:t>
      </w:r>
    </w:p>
    <w:p>
      <w:pPr>
        <w:pStyle w:val="ListBullet"/>
        <w:spacing w:after="60"/>
        <w:ind w:left="360" w:hanging="230"/>
      </w:pPr>
      <w:r>
        <w:t>Follow-up conversation</w:t>
      </w:r>
    </w:p>
    <w:p>
      <w:pPr>
        <w:pStyle w:val="Heading2"/>
      </w:pPr>
      <w:r>
        <w:t>18.19 Commercial Evidence Metrics</w:t>
      </w:r>
    </w:p>
    <w:p>
      <w:r>
        <w:t>As DRE moves toward market entry, commercial evidence should progress through increasingly strong states.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COMMERCIAL EVIDENCE</w:t>
              <w:br/>
            </w:r>
            <w:r>
              <w:t>Visitor → Demo User → Feedback Provider → Waitlist → Qualified Conversation → Design-Partner Evaluation → Proposal → Agreement → Paid Engagement → Deployment → Active Use → Renewal / Expansion.</w:t>
            </w:r>
          </w:p>
        </w:tc>
      </w:tr>
    </w:tbl>
    <w:p/>
    <w:p>
      <w:pPr>
        <w:pStyle w:val="Heading2"/>
      </w:pPr>
      <w:r>
        <w:t>18.20 Reliability Metrics</w:t>
      </w:r>
    </w:p>
    <w:p>
      <w:r>
        <w:t>Enterprise operation requires a technical measurement layer as well.</w:t>
      </w:r>
    </w:p>
    <w:p>
      <w:pPr>
        <w:pStyle w:val="ListBullet"/>
        <w:spacing w:after="60"/>
        <w:ind w:left="360" w:hanging="230"/>
      </w:pPr>
      <w:r>
        <w:t>Processing success rate</w:t>
      </w:r>
    </w:p>
    <w:p>
      <w:pPr>
        <w:pStyle w:val="ListBullet"/>
        <w:spacing w:after="60"/>
        <w:ind w:left="360" w:hanging="230"/>
      </w:pPr>
      <w:r>
        <w:t>Deterministic-engine failures</w:t>
      </w:r>
    </w:p>
    <w:p>
      <w:pPr>
        <w:pStyle w:val="ListBullet"/>
        <w:spacing w:after="60"/>
        <w:ind w:left="360" w:hanging="230"/>
      </w:pPr>
      <w:r>
        <w:t>Consensus failures</w:t>
      </w:r>
    </w:p>
    <w:p>
      <w:pPr>
        <w:pStyle w:val="ListBullet"/>
        <w:spacing w:after="60"/>
        <w:ind w:left="360" w:hanging="230"/>
      </w:pPr>
      <w:r>
        <w:t>Malformed model responses</w:t>
      </w:r>
    </w:p>
    <w:p>
      <w:pPr>
        <w:pStyle w:val="ListBullet"/>
        <w:spacing w:after="60"/>
        <w:ind w:left="360" w:hanging="230"/>
      </w:pPr>
      <w:r>
        <w:t>Transaction retry</w:t>
      </w:r>
    </w:p>
    <w:p>
      <w:pPr>
        <w:pStyle w:val="ListBullet"/>
        <w:spacing w:after="60"/>
        <w:ind w:left="360" w:hanging="230"/>
      </w:pPr>
      <w:r>
        <w:t>Controlled escalation</w:t>
      </w:r>
    </w:p>
    <w:p>
      <w:pPr>
        <w:pStyle w:val="ListBullet"/>
        <w:spacing w:after="60"/>
        <w:ind w:left="360" w:hanging="230"/>
      </w:pPr>
      <w:r>
        <w:t>Infrastructure errors</w:t>
      </w:r>
    </w:p>
    <w:p>
      <w:pPr>
        <w:pStyle w:val="ListBullet"/>
        <w:spacing w:after="60"/>
        <w:ind w:left="360" w:hanging="230"/>
      </w:pPr>
      <w:r>
        <w:t>Service availability</w:t>
      </w:r>
    </w:p>
    <w:p>
      <w:pPr>
        <w:pStyle w:val="ListBullet"/>
        <w:spacing w:after="60"/>
        <w:ind w:left="360" w:hanging="230"/>
      </w:pPr>
      <w:r>
        <w:t>Processing latency</w:t>
      </w:r>
    </w:p>
    <w:p>
      <w:pPr>
        <w:pStyle w:val="ListBullet"/>
        <w:spacing w:after="60"/>
        <w:ind w:left="360" w:hanging="230"/>
      </w:pPr>
      <w:r>
        <w:t>Failed downloads/exports</w:t>
      </w:r>
    </w:p>
    <w:p>
      <w:pPr>
        <w:pStyle w:val="ListBullet"/>
        <w:spacing w:after="60"/>
        <w:ind w:left="360" w:hanging="230"/>
      </w:pPr>
      <w:r>
        <w:t>Audit-record completion</w:t>
      </w:r>
    </w:p>
    <w:p>
      <w:pPr>
        <w:pStyle w:val="Heading2"/>
      </w:pPr>
      <w:r>
        <w:t>18.21 Audit Completeness</w:t>
      </w:r>
    </w:p>
    <w:p>
      <w:r>
        <w:t>Because auditability is part of DRE’s core product architecture, the evidence chain itself should be measurable.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AUDIT QUESTION</w:t>
              <w:br/>
            </w:r>
            <w:r>
              <w:t>For what percentage of processed transactions can the system reconstruct the complete decision path?</w:t>
            </w:r>
          </w:p>
        </w:tc>
      </w:tr>
    </w:tbl>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DECISION PATH</w:t>
              <w:br/>
            </w:r>
            <w:r>
              <w:t>Source transaction → policy/rule → deterministic finding → sanitized input → consensus attempt → votes → referee result → proposed action → Human Review state → authorized disposition → final output.</w:t>
            </w:r>
          </w:p>
        </w:tc>
      </w:tr>
    </w:tbl>
    <w:p/>
    <w:p>
      <w:pPr>
        <w:pStyle w:val="Heading2"/>
      </w:pPr>
      <w:r>
        <w:t>18.22 Metrics as Product Learning</w:t>
      </w:r>
    </w:p>
    <w:p>
      <w:r>
        <w:t>The operating metrics should feed directly back into development.</w:t>
      </w:r>
    </w:p>
    <w:p>
      <w:pPr>
        <w:pStyle w:val="ListBullet"/>
        <w:spacing w:after="60"/>
        <w:ind w:left="360" w:hanging="230"/>
      </w:pPr>
      <w:r>
        <w:t>High rule override rate → rule-review candidate</w:t>
      </w:r>
    </w:p>
    <w:p>
      <w:pPr>
        <w:pStyle w:val="ListBullet"/>
        <w:spacing w:after="60"/>
        <w:ind w:left="360" w:hanging="230"/>
      </w:pPr>
      <w:r>
        <w:t>Persistent agent disagreement → model/prompt/architecture-review candidate</w:t>
      </w:r>
    </w:p>
    <w:p>
      <w:pPr>
        <w:pStyle w:val="ListBullet"/>
        <w:spacing w:after="60"/>
        <w:ind w:left="360" w:hanging="230"/>
      </w:pPr>
      <w:r>
        <w:t>Repeated human disposition → automation candidate</w:t>
      </w:r>
    </w:p>
    <w:p>
      <w:pPr>
        <w:pStyle w:val="ListBullet"/>
        <w:spacing w:after="60"/>
        <w:ind w:left="360" w:hanging="230"/>
      </w:pPr>
      <w:r>
        <w:t>High demo abandonment → UX candidate</w:t>
      </w:r>
    </w:p>
    <w:p>
      <w:pPr>
        <w:pStyle w:val="ListBullet"/>
        <w:spacing w:after="60"/>
        <w:ind w:left="360" w:hanging="230"/>
      </w:pPr>
      <w:r>
        <w:t>Repeated customer request → product-requirement candidate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CLOSED LOOP</w:t>
              <w:br/>
            </w:r>
            <w:r>
              <w:t>Observe → measure → understand → improve → validate again.</w:t>
            </w:r>
          </w:p>
        </w:tc>
      </w:tr>
    </w:tbl>
    <w:p/>
    <w:p>
      <w:pPr>
        <w:pStyle w:val="Heading2"/>
      </w:pPr>
      <w:r>
        <w:t>18.23 Metric Governance</w:t>
      </w:r>
    </w:p>
    <w:p>
      <w:r>
        <w:t>DRE should avoid changing metric definitions casually as the product evolves.</w:t>
      </w:r>
    </w:p>
    <w:p>
      <w:pPr>
        <w:pStyle w:val="ListBullet"/>
        <w:spacing w:after="60"/>
        <w:ind w:left="360" w:hanging="230"/>
      </w:pPr>
      <w:r>
        <w:t>Defined name</w:t>
      </w:r>
    </w:p>
    <w:p>
      <w:pPr>
        <w:pStyle w:val="ListBullet"/>
        <w:spacing w:after="60"/>
        <w:ind w:left="360" w:hanging="230"/>
      </w:pPr>
      <w:r>
        <w:t>Defined numerator</w:t>
      </w:r>
    </w:p>
    <w:p>
      <w:pPr>
        <w:pStyle w:val="ListBullet"/>
        <w:spacing w:after="60"/>
        <w:ind w:left="360" w:hanging="230"/>
      </w:pPr>
      <w:r>
        <w:t>Defined denominator</w:t>
      </w:r>
    </w:p>
    <w:p>
      <w:pPr>
        <w:pStyle w:val="ListBullet"/>
        <w:spacing w:after="60"/>
        <w:ind w:left="360" w:hanging="230"/>
      </w:pPr>
      <w:r>
        <w:t>Defined processing state</w:t>
      </w:r>
    </w:p>
    <w:p>
      <w:pPr>
        <w:pStyle w:val="ListBullet"/>
        <w:spacing w:after="60"/>
        <w:ind w:left="360" w:hanging="230"/>
      </w:pPr>
      <w:r>
        <w:t>Defined source</w:t>
      </w:r>
    </w:p>
    <w:p>
      <w:pPr>
        <w:pStyle w:val="ListBullet"/>
        <w:spacing w:after="60"/>
        <w:ind w:left="360" w:hanging="230"/>
      </w:pPr>
      <w:r>
        <w:t>Version where necessary</w:t>
      </w:r>
    </w:p>
    <w:p>
      <w:r>
        <w:t>The same metric should mean the same thing wherever it appears.</w:t>
      </w:r>
    </w:p>
    <w:p>
      <w:pPr>
        <w:pStyle w:val="Heading2"/>
      </w:pPr>
      <w:r>
        <w:t>18.24 Stage-Appropriate Measurement</w:t>
      </w:r>
    </w:p>
    <w:p>
      <w:r>
        <w:t>DRE should not pretend to have production metrics before production exists.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STAGE</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STRONGEST AVAILABLE EVIDENCE</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Working demo</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Processing behavior, routing, outputs, latency, failures, usage, and evaluator feedback.</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Design partner / pilot</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Human agreement, overrides, review burden, OCG behavior, workflow friction, baseline comparison, and authorized financial disposition.</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Commercial production</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Longitudinal customer outcomes, repeat exceptions, reliability, audit completeness, operating efficiency, retention, renewal, and expansion.</w:t>
            </w:r>
          </w:p>
        </w:tc>
      </w:tr>
    </w:tbl>
    <w:p/>
    <w:p>
      <w:pPr>
        <w:pStyle w:val="Heading2"/>
      </w:pPr>
      <w:r>
        <w:t>18.25 Executive Operating View</w:t>
      </w:r>
    </w:p>
    <w:p>
      <w:r>
        <w:t>The mature DRE operating view should allow leadership to understand the health of the product without reading thousands of transaction records.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QUESTION</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MEASURE</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How much billing entered DRE?</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Transactions and original billing value</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How much was handled deterministically?</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Deterministic resolution rate</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How much required semantic review?</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Consensus utilization</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How much still required a person?</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Human Review rate</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Why did humans need to intervene?</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Human Review reason distribution</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Did humans agree with DRE?</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Agreement / override rate</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What billing issues recur?</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Exception recurrence</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What financial effects were proposed?</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Proposed adjustment value</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What financial effects were authorized?</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Authorized adjustment value</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Is DRE operating reliably?</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Completion, failure, latency</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Can DRE explain its decisions?</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Audit completeness</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Is the customer operation improving?</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Baseline-to-current outcome measures</w:t>
            </w:r>
          </w:p>
        </w:tc>
      </w:tr>
    </w:tbl>
    <w:p/>
    <w:p>
      <w:pPr>
        <w:pStyle w:val="Heading2"/>
      </w:pPr>
      <w:r>
        <w:t>18.26 Operating Metric Principle</w:t>
      </w:r>
    </w:p>
    <w:p>
      <w:r>
        <w:t>DRE should measure decision quality and operational consequence, not simply computational activity.</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METRIC HIERARCHY</w:t>
              <w:br/>
            </w:r>
            <w:r>
              <w:t>What came in? → What passed deterministic review? → What required interpretation? → What did consensus resolve? → What still required human judgment? → What did the authorized human decide? → What happened financially and operationally afterward? → Did the customer’s legal-billing process improve?</w:t>
            </w:r>
          </w:p>
        </w:tc>
      </w:tr>
    </w:tbl>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CENTRAL PROMISE</w:t>
              <w:br/>
            </w:r>
            <w:r>
              <w:t>Automate the review that can be controlled. Isolate the judgment that cannot. Preserve the reason for every decision. Measure what happens next.</w:t>
            </w:r>
          </w:p>
        </w:tc>
      </w:tr>
    </w:tbl>
    <w:p/>
    <w:p>
      <w:r>
        <w:br w:type="page"/>
      </w:r>
    </w:p>
    <w:p>
      <w:pPr>
        <w:pStyle w:val="Heading1"/>
      </w:pPr>
      <w:r>
        <w:t>19. Risk &amp; Dependency Register</w:t>
      </w:r>
    </w:p>
    <w:p>
      <w:r>
        <w:t>DRE’s risk register should not function as a catalog of everything that could conceivably go wrong. Its purpose is to identify the conditions capable of materially changing the product’s ability to review legal billing correctly, preserve human authority, operate inside the customer’s Azure environment, earn customer trust, and become commercially deployable.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USEFUL RISK MODEL</w:t>
              <w:br/>
            </w:r>
            <w:r>
              <w:t>Risk → evidence → consequence → control → residual uncertainty → trigger for action.</w:t>
            </w:r>
          </w:p>
        </w:tc>
      </w:tr>
    </w:tbl>
    <w:p/>
    <w:p>
      <w:pPr>
        <w:pStyle w:val="Heading2"/>
      </w:pPr>
      <w:r>
        <w:t>19.1 Risk Classification</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DOMAIN</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CENTRAL QUESTION</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Product</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Does DRE solve a sufficiently important legal-billing problem?</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Decision quality</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Does DRE route and evaluate billing exceptions appropriately?</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Human authority</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Does automation preserve rather than obscure authorized judgment?</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Technical</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Can the processing architecture behave reliably under real conditions?</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Azure / infrastructure</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Can DRE be deployed repeatably inside customer-controlled Azure environments?</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Security / governance</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Can customer data and system access be controlled and evidenced appropriately?</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Legal / compliance</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Are product claims, contractual boundaries, data responsibilities, and customer-specific rules defensible?</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Market</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Will qualified corporate legal buyers care enough to evaluate DRE?</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Adoption</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Can customers add DRE without creating the operational burden the product is intended to remove?</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Commercial</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Will customers pay enough, and repeatedly enough, to support the business?</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Financial</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Can Engineered Launch fund the path from demonstration to commercial deployment?</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Operational</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Can the company execute required work with available capacity?</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External dependency</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Which critical outcomes depend on Microsoft, models, investors, customers, or other parties?</w:t>
            </w:r>
          </w:p>
        </w:tc>
      </w:tr>
    </w:tbl>
    <w:p/>
    <w:p>
      <w:pPr>
        <w:pStyle w:val="Heading2"/>
      </w:pPr>
      <w:r>
        <w:t>19.2 Product-Market Risk</w:t>
      </w:r>
    </w:p>
    <w:p>
      <w:r>
        <w:t>The first major risk is that DRE can be technically capable while the market does not value the problem in the way the product currently frames it.</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Demo use → substantive feedback → qualified conversation → design-partner interest → commercial commitment → deployment → continuing use.</w:t>
            </w:r>
          </w:p>
        </w:tc>
      </w:tr>
    </w:tbl>
    <w:p/>
    <w:p>
      <w:pPr>
        <w:pStyle w:val="Heading2"/>
      </w:pPr>
      <w:r>
        <w:t>19.3 Problem-Severity Risk</w:t>
      </w:r>
    </w:p>
    <w:p>
      <w:r>
        <w:t>Customers may agree the problem exists but not consider it sufficiently painful to justify another product.</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Establish cost in time, rework, inconsistency, delay, billing friction, or financial exposure.</w:t>
            </w:r>
          </w:p>
        </w:tc>
      </w:tr>
    </w:tbl>
    <w:p/>
    <w:p>
      <w:pPr>
        <w:pStyle w:val="Heading2"/>
      </w:pPr>
      <w:r>
        <w:t>19.4 Product-Boundary Risk</w:t>
      </w:r>
    </w:p>
    <w:p>
      <w:r>
        <w:t>DRE risks both excessive scope expansion and insufficient workflow integration.</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Test whether capability improves legal-billing review, exception handling, human judgment, evidence, deployment, or necessary integration.</w:t>
            </w:r>
          </w:p>
        </w:tc>
      </w:tr>
    </w:tbl>
    <w:p/>
    <w:p>
      <w:pPr>
        <w:pStyle w:val="Heading2"/>
      </w:pPr>
      <w:r>
        <w:t>19.5 Deterministic-Rule Risk</w:t>
      </w:r>
    </w:p>
    <w:p>
      <w:r>
        <w:t>An incorrectly specified deterministic rule may produce the same incorrect result repeatedly and at scale.</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Rule provenance, versioning, testing, authorized exceptions, and human override evidence.</w:t>
            </w:r>
          </w:p>
        </w:tc>
      </w:tr>
    </w:tbl>
    <w:p/>
    <w:p>
      <w:pPr>
        <w:pStyle w:val="Heading2"/>
      </w:pPr>
      <w:r>
        <w:t>19.6 OCG Variability Risk</w:t>
      </w:r>
    </w:p>
    <w:p>
      <w:r>
        <w:t>Different organizations can establish different billing restrictions, exceptions, approval requirements, rates, matter rules, and staffing expectations.</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DRE capability → customer policy → policy version → matter context → authorized exception → resulting decision.</w:t>
            </w:r>
          </w:p>
        </w:tc>
      </w:tr>
    </w:tbl>
    <w:p/>
    <w:p>
      <w:pPr>
        <w:pStyle w:val="Heading2"/>
      </w:pPr>
      <w:r>
        <w:t>19.7 Semantic-Review Risk</w:t>
      </w:r>
    </w:p>
    <w:p>
      <w:r>
        <w:t>AI systems can misinterpret narratives, produce unstable responses, fail structured-output requirements, or agree for the wrong reason.</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Differentiated roles, structured outputs, deterministic aggregation, disagreement handling, human escalation, preserved evidence, labeled validation, and human disposition comparison.</w:t>
            </w:r>
          </w:p>
        </w:tc>
      </w:tr>
    </w:tbl>
    <w:p/>
    <w:p>
      <w:pPr>
        <w:pStyle w:val="Heading2"/>
      </w:pPr>
      <w:r>
        <w:t>19.8 Consensus-Independence Risk</w:t>
      </w:r>
    </w:p>
    <w:p>
      <w:r>
        <w:t>Multiple analyses may share the same systematic error.</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Evaluate practical independence of roles, models, rounds, prompts, and referee behavior.</w:t>
            </w:r>
          </w:p>
        </w:tc>
      </w:tr>
    </w:tbl>
    <w:p/>
    <w:p>
      <w:pPr>
        <w:pStyle w:val="Heading2"/>
      </w:pPr>
      <w:r>
        <w:t>19.9 Human-Review Risk</w:t>
      </w:r>
    </w:p>
    <w:p>
      <w:r>
        <w:t>Too many human-review transactions recreate burden; too few may over-automate ambiguous or high-risk decisions.</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Measure both Human Review rate and reason distribution.</w:t>
            </w:r>
          </w:p>
        </w:tc>
      </w:tr>
    </w:tbl>
    <w:p/>
    <w:p>
      <w:pPr>
        <w:pStyle w:val="Heading2"/>
      </w:pPr>
      <w:r>
        <w:t>19.10 Human-Automation Bias</w:t>
      </w:r>
    </w:p>
    <w:p>
      <w:r>
        <w:t>Reviewers may defer automatically to DRE because the system appears authoritative.</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Present sufficient source, finding, reason, proposed action, and retained reviewer authority.</w:t>
            </w:r>
          </w:p>
        </w:tc>
      </w:tr>
    </w:tbl>
    <w:p/>
    <w:p>
      <w:pPr>
        <w:pStyle w:val="Heading2"/>
      </w:pPr>
      <w:r>
        <w:t>19.11 Financial-Claim Risk</w:t>
      </w:r>
    </w:p>
    <w:p>
      <w:r>
        <w:t>Proposed adjustments may be represented as realized savings before authorized disposition.</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Original billing value → identified exception → proposed adjustment → authorized adjustment → final disposition → realized outcome.</w:t>
            </w:r>
          </w:p>
        </w:tc>
      </w:tr>
    </w:tbl>
    <w:p/>
    <w:p>
      <w:pPr>
        <w:pStyle w:val="Heading2"/>
      </w:pPr>
      <w:r>
        <w:t>19.12 Technical Reliability Risk</w:t>
      </w:r>
    </w:p>
    <w:p>
      <w:r>
        <w:t>Failures across deterministic processing, AI, orchestration, data, infrastructure, or messaging can affect transaction processing.</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Preserve known state, expose failure, avoid unsupported disposition, maintain evidence, permit controlled recovery.</w:t>
            </w:r>
          </w:p>
        </w:tc>
      </w:tr>
    </w:tbl>
    <w:p/>
    <w:p>
      <w:pPr>
        <w:pStyle w:val="Heading2"/>
      </w:pPr>
      <w:r>
        <w:t>19.13 Processing-State Risk</w:t>
      </w:r>
    </w:p>
    <w:p>
      <w:r>
        <w:t>Ambiguous status vocabulary can propagate into reporting, audit evidence, customer explanation, financial metrics, and debugging.</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Distinguish deterministic outcome, consensus attempt/result, escalation, technical failure, human disposition, and final output.</w:t>
            </w:r>
          </w:p>
        </w:tc>
      </w:tr>
    </w:tbl>
    <w:p/>
    <w:p>
      <w:pPr>
        <w:pStyle w:val="Heading2"/>
      </w:pPr>
      <w:r>
        <w:t>19.14 Audit-Evidence Risk</w:t>
      </w:r>
    </w:p>
    <w:p>
      <w:r>
        <w:t>A final result without reconstructable rule, policy, AI analysis, error state, or human disposition undermines explainability.</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Treat audit completeness as a production control.</w:t>
            </w:r>
          </w:p>
        </w:tc>
      </w:tr>
    </w:tbl>
    <w:p/>
    <w:p>
      <w:pPr>
        <w:pStyle w:val="Heading2"/>
      </w:pPr>
      <w:r>
        <w:t>19.15 Azure Architecture Risk</w:t>
      </w:r>
    </w:p>
    <w:p>
      <w:r>
        <w:t>The current Azure infrastructure is a foundation, not the finished production environment.</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Provisioned does not mean hardened. Configured does not mean validated.</w:t>
            </w:r>
          </w:p>
        </w:tc>
      </w:tr>
    </w:tbl>
    <w:p/>
    <w:p>
      <w:pPr>
        <w:pStyle w:val="Heading2"/>
      </w:pPr>
      <w:r>
        <w:t>19.16 Customer-Azure Dependency</w:t>
      </w:r>
    </w:p>
    <w:p>
      <w:r>
        <w:t>Customer tenants differ in governance, subscriptions, regions, identity, networks, policies, logging, models, and authority.</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Repeatable Infrastructure as Code, defined prerequisites, adaptable deployment, and validation.</w:t>
            </w:r>
          </w:p>
        </w:tc>
      </w:tr>
    </w:tbl>
    <w:p/>
    <w:p>
      <w:pPr>
        <w:pStyle w:val="Heading2"/>
      </w:pPr>
      <w:r>
        <w:t>19.17 Azure Service Dependency</w:t>
      </w:r>
    </w:p>
    <w:p>
      <w:r>
        <w:t>Service availability, capacity, quota, model availability, API changes, pricing, retirement, or policy changes are outside Engineered Launch control.</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Architecture, monitoring, controlled failure, documented prerequisites, and limited unnecessary coupling.</w:t>
            </w:r>
          </w:p>
        </w:tc>
      </w:tr>
    </w:tbl>
    <w:p/>
    <w:p>
      <w:pPr>
        <w:pStyle w:val="Heading2"/>
      </w:pPr>
      <w:r>
        <w:t>19.18 Model Dependency Risk</w:t>
      </w:r>
    </w:p>
    <w:p>
      <w:r>
        <w:t>Exact production model composition remains unsettled and model generations can change.</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Keep transaction contracts, agent roles, validation, evidence, referee logic, human authority, and workflow more durable than any model name.</w:t>
            </w:r>
          </w:p>
        </w:tc>
      </w:tr>
    </w:tbl>
    <w:p/>
    <w:p>
      <w:pPr>
        <w:pStyle w:val="Heading2"/>
      </w:pPr>
      <w:r>
        <w:t>19.19 Security Risk</w:t>
      </w:r>
    </w:p>
    <w:p>
      <w:r>
        <w:t>Customer legal-billing information can contain sensitive matter and business information.</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Network, identity, authorization, secrets, persistence, model access, logging, retention, and environment controls.</w:t>
            </w:r>
          </w:p>
        </w:tc>
      </w:tr>
    </w:tbl>
    <w:p/>
    <w:p>
      <w:pPr>
        <w:pStyle w:val="Heading2"/>
      </w:pPr>
      <w:r>
        <w:t>19.20 Privacy and Data-Handling Risk</w:t>
      </w:r>
    </w:p>
    <w:p>
      <w:r>
        <w:t>Public demonstration and customer deployment have intentionally different data boundaries.</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Public demo uses synthetic data; real matter data belongs in the controlled production environment.</w:t>
            </w:r>
          </w:p>
        </w:tc>
      </w:tr>
    </w:tbl>
    <w:p/>
    <w:p>
      <w:pPr>
        <w:pStyle w:val="Heading2"/>
      </w:pPr>
      <w:r>
        <w:t>19.21 Validation Risk</w:t>
      </w:r>
    </w:p>
    <w:p>
      <w:r>
        <w:t>A diagram can describe a control that the deployed system does not actually enforce.</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Define control → deploy → test intended path → test prohibited path → capture evidence → repeat after change.</w:t>
            </w:r>
          </w:p>
        </w:tc>
      </w:tr>
    </w:tbl>
    <w:p/>
    <w:p>
      <w:pPr>
        <w:pStyle w:val="Heading2"/>
      </w:pPr>
      <w:r>
        <w:t>19.22 Enterprise Procurement Risk</w:t>
      </w:r>
    </w:p>
    <w:p>
      <w:r>
        <w:t>Security, legal, insurance, privacy, IT, architecture, budget, contract, or data reviews may delay deployment.</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Strong product documentation, architecture, validation evidence, company structure, and commercial agreements.</w:t>
            </w:r>
          </w:p>
        </w:tc>
      </w:tr>
    </w:tbl>
    <w:p/>
    <w:p>
      <w:pPr>
        <w:pStyle w:val="Heading2"/>
      </w:pPr>
      <w:r>
        <w:t>19.23 Adoption-Friction Risk</w:t>
      </w:r>
    </w:p>
    <w:p>
      <w:r>
        <w:t>DRE may violate its own counterpromise if it requires lengthy migration, mapping, administration, support, or workflow replacement.</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Measure customer work required before useful output.</w:t>
            </w:r>
          </w:p>
        </w:tc>
      </w:tr>
    </w:tbl>
    <w:p/>
    <w:p>
      <w:pPr>
        <w:pStyle w:val="Heading2"/>
      </w:pPr>
      <w:r>
        <w:t>19.24 Integration Risk</w:t>
      </w:r>
    </w:p>
    <w:p>
      <w:r>
        <w:t>DRE must determine how billing enters and results leave without becoming a full e-billing platform.</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Prioritize integration from actual customer workflow evidence.</w:t>
            </w:r>
          </w:p>
        </w:tc>
      </w:tr>
    </w:tbl>
    <w:p/>
    <w:p>
      <w:pPr>
        <w:pStyle w:val="Heading2"/>
      </w:pPr>
      <w:r>
        <w:t>19.25 Commercial-Model Risk</w:t>
      </w:r>
    </w:p>
    <w:p>
      <w:r>
        <w:t>Permanent pricing and packaging remain unresolved.</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Use market contact to refine willingness to pay, pricing unit, deployment economics, support burden, sales cycle, renewal, and expansion.</w:t>
            </w:r>
          </w:p>
        </w:tc>
      </w:tr>
    </w:tbl>
    <w:p/>
    <w:p>
      <w:pPr>
        <w:pStyle w:val="Heading2"/>
      </w:pPr>
      <w:r>
        <w:t>19.26 Customer-Concentration Risk</w:t>
      </w:r>
    </w:p>
    <w:p>
      <w:r>
        <w:t>One early customer’s unique workflow may be mistaken for the market.</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Separate customer-specific requirement, repeated market requirement, and general product capability.</w:t>
            </w:r>
          </w:p>
        </w:tc>
      </w:tr>
    </w:tbl>
    <w:p/>
    <w:p>
      <w:pPr>
        <w:pStyle w:val="Heading2"/>
      </w:pPr>
      <w:r>
        <w:t>19.27 Investor Dependency Risk</w:t>
      </w:r>
    </w:p>
    <w:p>
      <w:r>
        <w:t>Investment can accelerate DRE but cannot substitute for customer adoption.</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Run investor activity and customer validation in parallel.</w:t>
            </w:r>
          </w:p>
        </w:tc>
      </w:tr>
    </w:tbl>
    <w:p/>
    <w:p>
      <w:pPr>
        <w:pStyle w:val="Heading2"/>
      </w:pPr>
      <w:r>
        <w:t>19.28 Microsoft-Program Dependency</w:t>
      </w:r>
    </w:p>
    <w:p>
      <w:r>
        <w:t>Credits, Marketplace, Investor Network, and co-sell can help but program rules can change.</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Keep DRE viable independently; use Microsoft programs as leverage.</w:t>
            </w:r>
          </w:p>
        </w:tc>
      </w:tr>
    </w:tbl>
    <w:p/>
    <w:p>
      <w:pPr>
        <w:pStyle w:val="Heading2"/>
      </w:pPr>
      <w:r>
        <w:t>19.29 Financial and Runway Risk</w:t>
      </w:r>
    </w:p>
    <w:p>
      <w:r>
        <w:t>Resource constraints make prioritization an operating risk.</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Demonstrate → validate → complete → harden.</w:t>
            </w:r>
          </w:p>
        </w:tc>
      </w:tr>
    </w:tbl>
    <w:p/>
    <w:p>
      <w:pPr>
        <w:pStyle w:val="Heading2"/>
      </w:pPr>
      <w:r>
        <w:t>19.30 Founder-Capacity Risk</w:t>
      </w:r>
    </w:p>
    <w:p>
      <w:r>
        <w:t>Product, architecture, commercial, documentation, and operating knowledge are highly concentrated in Jamie.</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Transfer knowledge through code, documentation, decision records, deployment definitions, validation, customer records, and commercial materials.</w:t>
            </w:r>
          </w:p>
        </w:tc>
      </w:tr>
    </w:tbl>
    <w:p/>
    <w:p>
      <w:pPr>
        <w:pStyle w:val="Heading2"/>
      </w:pPr>
      <w:r>
        <w:t>19.31 Documentation Risk</w:t>
      </w:r>
    </w:p>
    <w:p>
      <w:r>
        <w:t>Rapid evolution can leave obsolete material appearing authoritative.</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Make current, historical, target, superseded, and unresolved states explicit.</w:t>
            </w:r>
          </w:p>
        </w:tc>
      </w:tr>
    </w:tbl>
    <w:p/>
    <w:p>
      <w:pPr>
        <w:pStyle w:val="Heading2"/>
      </w:pPr>
      <w:r>
        <w:t>19.32 Website-Claim Risk</w:t>
      </w:r>
    </w:p>
    <w:p>
      <w:r>
        <w:t>Unsupported copy can create misleading claims about production, security, outcomes, architecture, Microsoft relationships, or adoption.</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Let the demo, documentation, architecture, and customer evidence carry the burden.</w:t>
            </w:r>
          </w:p>
        </w:tc>
      </w:tr>
    </w:tbl>
    <w:p/>
    <w:p>
      <w:pPr>
        <w:pStyle w:val="Heading2"/>
      </w:pPr>
      <w:r>
        <w:t>19.33 Intellectual-Property Risk</w:t>
      </w:r>
    </w:p>
    <w:p>
      <w:r>
        <w:t>Ownership, provenance, third-party dependencies, customer material, AI-assisted development, and contributor work can create ambiguity.</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Know what the asset is, where it came from, and who can use and commercialize it.</w:t>
            </w:r>
          </w:p>
        </w:tc>
      </w:tr>
    </w:tbl>
    <w:p/>
    <w:p>
      <w:pPr>
        <w:pStyle w:val="Heading2"/>
      </w:pPr>
      <w:r>
        <w:t>19.34 Reputation Risk</w:t>
      </w:r>
    </w:p>
    <w:p>
      <w:r>
        <w:t>Sophisticated customer, Microsoft, investor, security, and procurement audiences can lose trust through unsupported claims or unreliable evidence.</w:t>
      </w:r>
    </w:p>
    <w:tbl>
      <w:tblPr>
        <w:tblW w:type="auto" w:w="0"/>
        <w:jc w:val="center"/>
        <w:tblLayout w:type="fixed"/>
        <w:tblLook w:firstColumn="1" w:firstRow="1" w:lastColumn="0" w:lastRow="0" w:noHBand="0" w:noVBand="1" w:val="04A0"/>
      </w:tblPr>
      <w:tblGrid>
        <w:gridCol w:w="173"/>
        <w:gridCol w:w="9432"/>
      </w:tblGrid>
      <w:tr>
        <w:tc>
          <w:tcPr>
            <w:tcW w:type="dxa" w:w="4939"/>
            <w:shd w:fill="C89B3C"/>
          </w:tcPr>
          <w:p>
            <w:r/>
          </w:p>
        </w:tc>
        <w:tc>
          <w:tcPr>
            <w:tcW w:type="dxa" w:w="4939"/>
            <w:shd w:fill="F7F2E8"/>
          </w:tcPr>
          <w:p>
            <w:pPr>
              <w:pStyle w:val="Callout"/>
            </w:pPr>
            <w:r>
              <w:rPr>
                <w:color w:val="C89B3C"/>
                <w:sz w:val="16"/>
              </w:rPr>
              <w:t>CONTROL / RESPONSE</w:t>
              <w:br/>
            </w:r>
            <w:r>
              <w:t>Verified observation first. Inference labeled. Unknown remains unknown.</w:t>
            </w:r>
          </w:p>
        </w:tc>
      </w:tr>
    </w:tbl>
    <w:p/>
    <w:p>
      <w:pPr>
        <w:pStyle w:val="Heading2"/>
      </w:pPr>
      <w:r>
        <w:t>19.35 Dependency Map</w:t>
      </w:r>
    </w:p>
    <w:tbl>
      <w:tblPr>
        <w:tblStyle w:val="TableGrid"/>
        <w:tblW w:type="auto" w:w="0"/>
        <w:jc w:val="center"/>
        <w:tblLook w:firstColumn="1" w:firstRow="1" w:lastColumn="0" w:lastRow="0" w:noHBand="0" w:noVBand="1" w:val="04A0"/>
      </w:tblPr>
      <w:tblGrid>
        <w:gridCol w:w="3293"/>
        <w:gridCol w:w="3293"/>
        <w:gridCol w:w="3293"/>
      </w:tblGrid>
      <w:tr>
        <w:tc>
          <w:tcPr>
            <w:tcW w:type="dxa" w:w="3293"/>
            <w:vAlign w:val="center"/>
            <w:tcMar>
              <w:top w:w="105" w:type="dxa"/>
              <w:start w:w="105" w:type="dxa"/>
              <w:bottom w:w="105" w:type="dxa"/>
              <w:end w:w="105" w:type="dxa"/>
            </w:tcMar>
            <w:shd w:fill="16324F"/>
          </w:tcPr>
          <w:p>
            <w:pPr>
              <w:spacing w:after="0"/>
            </w:pPr>
            <w:r/>
            <w:r>
              <w:rPr>
                <w:rFonts w:ascii="Aptos" w:hAnsi="Aptos"/>
                <w:b/>
                <w:color w:val="FFFFFF"/>
                <w:sz w:val="16"/>
              </w:rPr>
              <w:t>DEPENDENCY</w:t>
            </w:r>
          </w:p>
        </w:tc>
        <w:tc>
          <w:tcPr>
            <w:tcW w:type="dxa" w:w="3293"/>
            <w:vAlign w:val="center"/>
            <w:tcMar>
              <w:top w:w="105" w:type="dxa"/>
              <w:start w:w="105" w:type="dxa"/>
              <w:bottom w:w="105" w:type="dxa"/>
              <w:end w:w="105" w:type="dxa"/>
            </w:tcMar>
            <w:shd w:fill="16324F"/>
          </w:tcPr>
          <w:p>
            <w:pPr>
              <w:spacing w:after="0"/>
            </w:pPr>
            <w:r/>
            <w:r>
              <w:rPr>
                <w:rFonts w:ascii="Aptos" w:hAnsi="Aptos"/>
                <w:b/>
                <w:color w:val="FFFFFF"/>
                <w:sz w:val="16"/>
              </w:rPr>
              <w:t>PRIMARILY CONTROLLED BY</w:t>
            </w:r>
          </w:p>
        </w:tc>
        <w:tc>
          <w:tcPr>
            <w:tcW w:type="dxa" w:w="3293"/>
            <w:vAlign w:val="center"/>
            <w:tcMar>
              <w:top w:w="105" w:type="dxa"/>
              <w:start w:w="105" w:type="dxa"/>
              <w:bottom w:w="105" w:type="dxa"/>
              <w:end w:w="105" w:type="dxa"/>
            </w:tcMar>
            <w:shd w:fill="16324F"/>
          </w:tcPr>
          <w:p>
            <w:pPr>
              <w:spacing w:after="0"/>
            </w:pPr>
            <w:r/>
            <w:r>
              <w:rPr>
                <w:rFonts w:ascii="Aptos" w:hAnsi="Aptos"/>
                <w:b/>
                <w:color w:val="FFFFFF"/>
                <w:sz w:val="16"/>
              </w:rPr>
              <w:t>DRE RESPONSE</w:t>
            </w:r>
          </w:p>
        </w:tc>
      </w:tr>
      <w:tr>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Product implementation</w:t>
            </w:r>
          </w:p>
        </w:tc>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Engineered Launch</w:t>
            </w:r>
          </w:p>
        </w:tc>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Build and validate</w:t>
            </w:r>
          </w:p>
        </w:tc>
      </w:tr>
      <w:tr>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Customer feedback</w:t>
            </w:r>
          </w:p>
        </w:tc>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External evaluator</w:t>
            </w:r>
          </w:p>
        </w:tc>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Put working product in front of them</w:t>
            </w:r>
          </w:p>
        </w:tc>
      </w:tr>
      <w:tr>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OCG requirements</w:t>
            </w:r>
          </w:p>
        </w:tc>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Customer / market</w:t>
            </w:r>
          </w:p>
        </w:tc>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Gather representative evidence</w:t>
            </w:r>
          </w:p>
        </w:tc>
      </w:tr>
      <w:tr>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Azure services</w:t>
            </w:r>
          </w:p>
        </w:tc>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Microsoft</w:t>
            </w:r>
          </w:p>
        </w:tc>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Architect for controlled dependency</w:t>
            </w:r>
          </w:p>
        </w:tc>
      </w:tr>
      <w:tr>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Customer Azure policy</w:t>
            </w:r>
          </w:p>
        </w:tc>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Customer</w:t>
            </w:r>
          </w:p>
        </w:tc>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Define prerequisites and adaptable deployment</w:t>
            </w:r>
          </w:p>
        </w:tc>
      </w:tr>
      <w:tr>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Model behavior</w:t>
            </w:r>
          </w:p>
        </w:tc>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Model provider + DRE</w:t>
            </w:r>
          </w:p>
        </w:tc>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Validate, constrain, monitor, preserve human authority</w:t>
            </w:r>
          </w:p>
        </w:tc>
      </w:tr>
      <w:tr>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Procurement</w:t>
            </w:r>
          </w:p>
        </w:tc>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Customer</w:t>
            </w:r>
          </w:p>
        </w:tc>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Build evidence and documentation</w:t>
            </w:r>
          </w:p>
        </w:tc>
      </w:tr>
      <w:tr>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Investment decision</w:t>
            </w:r>
          </w:p>
        </w:tc>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Investor</w:t>
            </w:r>
          </w:p>
        </w:tc>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Maintain application pipeline and product progress</w:t>
            </w:r>
          </w:p>
        </w:tc>
      </w:tr>
      <w:tr>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Microsoft program status</w:t>
            </w:r>
          </w:p>
        </w:tc>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Microsoft</w:t>
            </w:r>
          </w:p>
        </w:tc>
        <w:tc>
          <w:tcPr>
            <w:tcW w:type="dxa" w:w="3293"/>
            <w:vAlign w:val="center"/>
            <w:tcMar>
              <w:top w:w="105" w:type="dxa"/>
              <w:start w:w="105" w:type="dxa"/>
              <w:bottom w:w="105" w:type="dxa"/>
              <w:end w:w="105" w:type="dxa"/>
            </w:tcMar>
            <w:shd w:fill="FFFFFF"/>
          </w:tcPr>
          <w:p>
            <w:pPr>
              <w:spacing w:after="0"/>
            </w:pPr>
            <w:r/>
            <w:r>
              <w:rPr>
                <w:rFonts w:ascii="Aptos" w:hAnsi="Aptos"/>
                <w:b w:val="0"/>
                <w:color w:val="24313C"/>
                <w:sz w:val="16"/>
              </w:rPr>
              <w:t>Meet current requirements without making program indispensable</w:t>
            </w:r>
          </w:p>
        </w:tc>
      </w:tr>
      <w:tr>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Commercial acceptance</w:t>
            </w:r>
          </w:p>
        </w:tc>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Customer</w:t>
            </w:r>
          </w:p>
        </w:tc>
        <w:tc>
          <w:tcPr>
            <w:tcW w:type="dxa" w:w="3293"/>
            <w:vAlign w:val="center"/>
            <w:tcMar>
              <w:top w:w="105" w:type="dxa"/>
              <w:start w:w="105" w:type="dxa"/>
              <w:bottom w:w="105" w:type="dxa"/>
              <w:end w:w="105" w:type="dxa"/>
            </w:tcMar>
            <w:shd w:fill="F4F7F9"/>
          </w:tcPr>
          <w:p>
            <w:pPr>
              <w:spacing w:after="0"/>
            </w:pPr>
            <w:r/>
            <w:r>
              <w:rPr>
                <w:rFonts w:ascii="Aptos" w:hAnsi="Aptos"/>
                <w:b w:val="0"/>
                <w:color w:val="24313C"/>
                <w:sz w:val="16"/>
              </w:rPr>
              <w:t>Demonstrate value and test willingness to pay</w:t>
            </w:r>
          </w:p>
        </w:tc>
      </w:tr>
    </w:tbl>
    <w:p/>
    <w:p>
      <w:pPr>
        <w:pStyle w:val="Heading2"/>
      </w:pPr>
      <w:r>
        <w:t>19.36 Risk Prioritization</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CURRENT PRIORITIES</w:t>
              <w:br/>
            </w:r>
            <w:r>
              <w:t>Does the demo work? Do qualified evaluators understand and value it? Does processing produce supportable results? Can DRE clearly separate current from intended? What do real OCG/customer workflows require next?</w:t>
            </w:r>
          </w:p>
        </w:tc>
      </w:tr>
    </w:tbl>
    <w:p/>
    <w:p>
      <w:r>
        <w:t>As customer deployment approaches, priority moves toward private Azure architecture, identity, data handling, validation, reliability, contracts, support, and repeatable deployment.</w:t>
      </w:r>
    </w:p>
    <w:p>
      <w:pPr>
        <w:pStyle w:val="Heading2"/>
      </w:pPr>
      <w:r>
        <w:t>19.37 Trigger-Based Risk Management</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TRIGGER</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ACTION</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Evaluators repeatedly misunderstand Passed Consensus</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Treat output language as a product issue.</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Human Review remains unexpectedly high</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Investigate routing and rule architecture.</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Humans repeatedly override one deterministic rule</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Treat the rule as a calibration issue.</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Design partner requires LEDES® 1998B</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Make normalization an immediate integration requirement.</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Enterprise review requires an unimplemented control</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Add it to the customer-deployment path.</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Azure behavior prevents intended private architecture</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Change the infrastructure design.</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Multiple customers request an excluded capability</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Deliberately reconsider the product boundary.</w:t>
            </w:r>
          </w:p>
        </w:tc>
      </w:tr>
    </w:tbl>
    <w:p/>
    <w:p>
      <w:pPr>
        <w:pStyle w:val="Heading2"/>
      </w:pPr>
      <w:r>
        <w:t>19.38 Residual Risk</w:t>
      </w:r>
    </w:p>
    <w:p>
      <w:r>
        <w:t>Some uncertainty will remain even after controls are implemented. The goal is not a fictional state of zero risk.</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ENTERPRISE POSITION</w:t>
              <w:br/>
            </w:r>
            <w:r>
              <w:t>Known boundaries, controlled behavior, observable failure, preserved evidence, appropriate human authority, and a defined response when the system encounters something it cannot safely resolve.</w:t>
            </w:r>
          </w:p>
        </w:tc>
      </w:tr>
    </w:tbl>
    <w:p/>
    <w:p>
      <w:pPr>
        <w:pStyle w:val="Heading2"/>
      </w:pPr>
      <w:r>
        <w:t>19.39 Risk Register as a Living Control</w:t>
      </w:r>
    </w:p>
    <w:p>
      <w:r>
        <w:t>The risk register should change when evidence changes. A risk can move from Unknown → investigated → controlled → validated → monitored. It can also move backward.</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CONTROL</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FUNCTION</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Metrics</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Show what is happening.</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Backlog</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Shows what DRE intends to change.</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Risk register</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Shows what could prevent the intended outcome and what evidence determines whether the risk is controlled.</w:t>
            </w:r>
          </w:p>
        </w:tc>
      </w:tr>
    </w:tbl>
    <w:p/>
    <w:p>
      <w:pPr>
        <w:pStyle w:val="Heading2"/>
      </w:pPr>
      <w:r>
        <w:t>19.40 Risk &amp; Dependency Principle</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OPERATING DISCIPLINE</w:t>
              <w:br/>
            </w:r>
            <w:r>
              <w:t>Know what DRE controls. Know what the customer controls. Know what Microsoft and other external providers control. Know which decisions are deterministic. Know which require interpretation. Know which require authorized human judgment. Know what evidence supports the result. Know what happens when a dependency fails. Know which claims have actually been earned.</w:t>
            </w:r>
          </w:p>
        </w:tc>
      </w:tr>
    </w:tbl>
    <w:p/>
    <w:p>
      <w:r>
        <w:t>DRE does not need every transaction to be easy. It needs to know which transactions are easy, which are ambiguous, and which require a person.</w:t>
      </w:r>
    </w:p>
    <w:p>
      <w:r>
        <w:br w:type="page"/>
      </w:r>
    </w:p>
    <w:p>
      <w:pPr>
        <w:pStyle w:val="Heading1"/>
      </w:pPr>
      <w:r>
        <w:t>20. Current-State Checklist</w:t>
      </w:r>
    </w:p>
    <w:p>
      <w:r>
        <w:t>The purpose of the current-state checklist is to create one authoritative view of where DRE actually stands now.</w:t>
      </w:r>
    </w:p>
    <w:p>
      <w:r>
        <w:t>It should distinguish what is established, what is operating, what is still being built, what belongs immediately after the demo, what belongs to production hardening, what still requires research, and what remains unresolved.</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STATE-CONTROL QUESTIONS</w:t>
              <w:br/>
            </w:r>
            <w:r>
              <w:t>What exists? What works? What is being finished now? What comes next? What is still unknown?</w:t>
            </w:r>
          </w:p>
        </w:tc>
      </w:tr>
    </w:tbl>
    <w:p/>
    <w:p>
      <w:pPr>
        <w:pStyle w:val="Heading2"/>
      </w:pPr>
      <w:r>
        <w:t>20.1 Completed / Established</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AREA</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CURRENT FOUNDATION</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Product identity and market direction</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DRE / Dr. E is established as the Deterministic Review Engine under Engineered Launch. Initial commercial problem is outside-counsel billing review and OCG compliance.</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Core customer experience</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One legal-billing file in. Two files out: PASSED CONSENSUS and HUMAN REVIEW.</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Deterministic engine</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Structured input, rule evaluation, administrative-activity detection, narrative sanitation, hours/value adjustment, violation records, and needs_ai_consensus routing.</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Transaction orchestration</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Deterministic evaluation, early exit, consensus only when required, financial finalization, audit packaging, and controlled fallback.</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Consensus wrapper</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Three differentiated AI roles in one current parallel round followed by deterministic vote aggregation.</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Synthetic data</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Representative synthetic billing lines across timekeeper levels.</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Azure foundation</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VNet, AppSubnet, Key Vault, Cosmos DB account, Azure OpenAI account, and disabled public access on Azure OpenAI.</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Validation direction</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Static checks, controlled deployment, assertions, connectivity tests, service tests, evidence capture, cleanup.</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Documentation base</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Substantive technical documents for core product, architecture, infrastructure, validation, and demo.</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Market and investor direction</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Evidence-based product development, GCVC-first investor strategy, broader target pipeline, and working-demo focus.</w:t>
            </w:r>
          </w:p>
        </w:tc>
      </w:tr>
    </w:tbl>
    <w:p/>
    <w:p>
      <w:r>
        <w:t>The current product philosophy is deterministic first, semantic exception handling where required, human authority retained, and operational simplicity without unnecessary platform expansion.</w:t>
      </w:r>
    </w:p>
    <w:p>
      <w:pPr>
        <w:pStyle w:val="Heading2"/>
      </w:pPr>
      <w:r>
        <w:t>20.2 In Progress</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WORKSTREAM</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CURRENT DIRECTION</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Working public demonstration</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Synthetic input → actual processing → counts → Passed Consensus → Human Review → downloads.</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Website assembly</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Source-backed product pages, documentation downloads, demo, feedback, and early-access path.</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Product/document alignment</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Ensure product, documents, pages, diagrams, demo, and investor materials describe the same legal-only DRE.</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Azure implementation progression</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Move toward runtime, private connectivity, identity, RBAC, completed data layer, model deployments, observability, and validation.</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Customer-evidence capture</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Persist waitlist, private feedback, named reviews with consent, and evaluator/contact information.</w:t>
            </w:r>
          </w:p>
        </w:tc>
      </w:tr>
    </w:tbl>
    <w:p/>
    <w:p>
      <w:pPr>
        <w:pStyle w:val="Heading2"/>
      </w:pPr>
      <w:r>
        <w:t>20.3 Demo-Now Requirements</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MINIMUM MEANINGFUL END STATE</w:t>
              <w:br/>
            </w:r>
            <w:r>
              <w:t>A qualified evaluator can arrive, understand the problem, obtain a supplied synthetic billing file, run it through the system, observe actual processing, receive understandable results, download the outputs, and provide feedback.</w:t>
            </w:r>
          </w:p>
        </w:tc>
      </w:tr>
    </w:tbl>
    <w:p/>
    <w:p>
      <w:pPr>
        <w:pStyle w:val="ListBullet"/>
        <w:spacing w:after="60"/>
        <w:ind w:left="360" w:hanging="230"/>
      </w:pPr>
      <w:r>
        <w:t>Intake: sample is easy to locate; controlled input works; real matter-data submission is discouraged.</w:t>
      </w:r>
    </w:p>
    <w:p>
      <w:pPr>
        <w:pStyle w:val="ListBullet"/>
        <w:spacing w:after="60"/>
        <w:ind w:left="360" w:hanging="230"/>
      </w:pPr>
      <w:r>
        <w:t>Processing: sample is actually processed through deterministic and consensus paths where applicable; failure does not present false success.</w:t>
      </w:r>
    </w:p>
    <w:p>
      <w:pPr>
        <w:pStyle w:val="ListBullet"/>
        <w:spacing w:after="60"/>
        <w:ind w:left="360" w:hanging="230"/>
      </w:pPr>
      <w:r>
        <w:t>Results: total reviewed, deterministic review/pass, sent to consensus, passed consensus, Human Review, and two downloadable populations.</w:t>
      </w:r>
    </w:p>
    <w:p>
      <w:pPr>
        <w:pStyle w:val="ListBullet"/>
        <w:spacing w:after="60"/>
        <w:ind w:left="360" w:hanging="230"/>
      </w:pPr>
      <w:r>
        <w:t>Explanation: what entered, what DRE found, what it proposed, why, and whether a human is required.</w:t>
      </w:r>
    </w:p>
    <w:p>
      <w:pPr>
        <w:pStyle w:val="ListBullet"/>
        <w:spacing w:after="60"/>
        <w:ind w:left="360" w:hanging="230"/>
      </w:pPr>
      <w:r>
        <w:t>Financial wording: proposed and calculated adjustments remain distinct from authorized and realized outcomes.</w:t>
      </w:r>
    </w:p>
    <w:p>
      <w:pPr>
        <w:pStyle w:val="ListBullet"/>
        <w:spacing w:after="60"/>
        <w:ind w:left="360" w:hanging="230"/>
      </w:pPr>
      <w:r>
        <w:t>Conversion/learning: feedback, waitlist/early access, and consented named review.</w:t>
      </w:r>
    </w:p>
    <w:p>
      <w:pPr>
        <w:pStyle w:val="ListBullet"/>
        <w:spacing w:after="60"/>
        <w:ind w:left="360" w:hanging="230"/>
      </w:pPr>
      <w:r>
        <w:t>Reliability: the product itself becomes the proof rather than the founder’s explanation.</w:t>
      </w:r>
    </w:p>
    <w:p>
      <w:pPr>
        <w:pStyle w:val="Heading2"/>
      </w:pPr>
      <w:r>
        <w:t>20.4 Immediate Next</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POST-DEMO SEQUENCE</w:t>
              <w:br/>
            </w:r>
            <w:r>
              <w:t>Put DRE in front of real people. Observe what happens. Capture what they understand. Capture what fails. Capture what they ask for. Separate repeated needs from one-off preferences. Use that evidence to direct the next build.</w:t>
            </w:r>
          </w:p>
        </w:tc>
      </w:tr>
    </w:tbl>
    <w:p/>
    <w:p>
      <w:pPr>
        <w:pStyle w:val="ListBullet"/>
        <w:spacing w:after="60"/>
        <w:ind w:left="360" w:hanging="230"/>
      </w:pPr>
      <w:r>
        <w:t>Corporate legal professionals</w:t>
      </w:r>
    </w:p>
    <w:p>
      <w:pPr>
        <w:pStyle w:val="ListBullet"/>
        <w:spacing w:after="60"/>
        <w:ind w:left="360" w:hanging="230"/>
      </w:pPr>
      <w:r>
        <w:t>Legal operations</w:t>
      </w:r>
    </w:p>
    <w:p>
      <w:pPr>
        <w:pStyle w:val="ListBullet"/>
        <w:spacing w:after="60"/>
        <w:ind w:left="360" w:hanging="230"/>
      </w:pPr>
      <w:r>
        <w:t>Compliance leadership</w:t>
      </w:r>
    </w:p>
    <w:p>
      <w:pPr>
        <w:pStyle w:val="ListBullet"/>
        <w:spacing w:after="60"/>
        <w:ind w:left="360" w:hanging="230"/>
      </w:pPr>
      <w:r>
        <w:t>Legal-billing reviewers</w:t>
      </w:r>
    </w:p>
    <w:p>
      <w:pPr>
        <w:pStyle w:val="ListBullet"/>
        <w:spacing w:after="60"/>
        <w:ind w:left="360" w:hanging="230"/>
      </w:pPr>
      <w:r>
        <w:t>Relevant investors</w:t>
      </w:r>
    </w:p>
    <w:p>
      <w:pPr>
        <w:pStyle w:val="ListBullet"/>
        <w:spacing w:after="60"/>
        <w:ind w:left="360" w:hanging="230"/>
      </w:pPr>
      <w:r>
        <w:t>Appropriate professional communities</w:t>
      </w:r>
    </w:p>
    <w:p>
      <w:pPr>
        <w:pStyle w:val="Heading2"/>
      </w:pPr>
      <w:r>
        <w:t>20.5 Build Next</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THEME</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DIRECTION</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Input normalization</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LEDES® 1998B and simple structured CSV into a common DRE transaction contract.</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OCG policy architecture</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Policy source, rule ID/version, effective date, customer, matter context, exceptions, and deterministic/semantic treatment.</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Deterministic rule maturity</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Expand from representative OCG requirements and customer evidence.</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Consensus maturity</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Improve structured outputs, escalation, evidence, and validated multi-round architecture where useful.</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Human Review</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Turn the output category into an authorized-review workflow.</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Audit evidence</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Strengthen reconstruction of the complete processing path.</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Customer evidence system</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Turn activity, feedback, overrides, and requests into product learning.</w:t>
            </w:r>
          </w:p>
        </w:tc>
      </w:tr>
    </w:tbl>
    <w:p/>
    <w:p>
      <w:pPr>
        <w:pStyle w:val="Heading2"/>
      </w:pPr>
      <w:r>
        <w:t>20.6 Production Requirements</w:t>
      </w:r>
    </w:p>
    <w:p>
      <w:pPr>
        <w:pStyle w:val="ListBullet"/>
        <w:spacing w:after="60"/>
        <w:ind w:left="360" w:hanging="230"/>
      </w:pPr>
      <w:r>
        <w:t>Private Azure architecture implemented and validated</w:t>
      </w:r>
    </w:p>
    <w:p>
      <w:pPr>
        <w:pStyle w:val="ListBullet"/>
        <w:spacing w:after="60"/>
        <w:ind w:left="360" w:hanging="230"/>
      </w:pPr>
      <w:r>
        <w:t>Managed identity and least-privilege authorization</w:t>
      </w:r>
    </w:p>
    <w:p>
      <w:pPr>
        <w:pStyle w:val="ListBullet"/>
        <w:spacing w:after="60"/>
        <w:ind w:left="360" w:hanging="230"/>
      </w:pPr>
      <w:r>
        <w:t>Governed Cosmos DB data model</w:t>
      </w:r>
    </w:p>
    <w:p>
      <w:pPr>
        <w:pStyle w:val="ListBullet"/>
        <w:spacing w:after="60"/>
        <w:ind w:left="360" w:hanging="230"/>
      </w:pPr>
      <w:r>
        <w:t>Controlled Azure OpenAI model deployment</w:t>
      </w:r>
    </w:p>
    <w:p>
      <w:pPr>
        <w:pStyle w:val="ListBullet"/>
        <w:spacing w:after="60"/>
        <w:ind w:left="360" w:hanging="230"/>
      </w:pPr>
      <w:r>
        <w:t>Repeatable Azure application runtime</w:t>
      </w:r>
    </w:p>
    <w:p>
      <w:pPr>
        <w:pStyle w:val="ListBullet"/>
        <w:spacing w:after="60"/>
        <w:ind w:left="360" w:hanging="230"/>
      </w:pPr>
      <w:r>
        <w:t>Operational observability</w:t>
      </w:r>
    </w:p>
    <w:p>
      <w:pPr>
        <w:pStyle w:val="ListBullet"/>
        <w:spacing w:after="60"/>
        <w:ind w:left="360" w:hanging="230"/>
      </w:pPr>
      <w:r>
        <w:t>Environment separation</w:t>
      </w:r>
    </w:p>
    <w:p>
      <w:pPr>
        <w:pStyle w:val="ListBullet"/>
        <w:spacing w:after="60"/>
        <w:ind w:left="360" w:hanging="230"/>
      </w:pPr>
      <w:r>
        <w:t>Repeatable deployment</w:t>
      </w:r>
    </w:p>
    <w:p>
      <w:pPr>
        <w:pStyle w:val="ListBullet"/>
        <w:spacing w:after="60"/>
        <w:ind w:left="360" w:hanging="230"/>
      </w:pPr>
      <w:r>
        <w:t>Positive and negative validation</w:t>
      </w:r>
    </w:p>
    <w:p>
      <w:pPr>
        <w:pStyle w:val="ListBullet"/>
        <w:spacing w:after="60"/>
        <w:ind w:left="360" w:hanging="230"/>
      </w:pPr>
      <w:r>
        <w:t>Recovery</w:t>
      </w:r>
    </w:p>
    <w:p>
      <w:pPr>
        <w:pStyle w:val="ListBullet"/>
        <w:spacing w:after="60"/>
        <w:ind w:left="360" w:hanging="230"/>
      </w:pPr>
      <w:r>
        <w:t>Explicit retention and governance</w:t>
      </w:r>
    </w:p>
    <w:p>
      <w:pPr>
        <w:pStyle w:val="ListBullet"/>
        <w:spacing w:after="60"/>
        <w:ind w:left="360" w:hanging="230"/>
      </w:pPr>
      <w:r>
        <w:t>Defined commercial support and responsibility model</w:t>
      </w:r>
    </w:p>
    <w:p>
      <w:pPr>
        <w:pStyle w:val="Heading2"/>
      </w:pPr>
      <w:r>
        <w:t>20.7 Research Required</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QUESTION</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WHY IT REMAINS OPEN</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OCG computability</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Determine deterministic, semantic, external-context, exception-dependent, and human-judgment boundaries.</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Real billing-file variability</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Understand actual input quality and structure.</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Customer workflow integration</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Determine where DRE sits in the existing review path and which handoffs matter.</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Model composition</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Evaluate quality, independence, Azure availability, latency, cost, and validation.</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Multi-round consensus value</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Test whether added computation provides added evidence or reliability.</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Pricing</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Use the early engagement hypothesis while market evidence establishes durable pricing.</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Security and procurement specifics</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Actual enterprise customers will expose requirements internal architecture cannot fully predict.</w:t>
            </w:r>
          </w:p>
        </w:tc>
      </w:tr>
    </w:tbl>
    <w:p/>
    <w:p>
      <w:pPr>
        <w:pStyle w:val="Heading2"/>
      </w:pPr>
      <w:r>
        <w:t>20.8 Unknown / Unresolved</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ITEM</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STATUS</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Permanent commercial pricing</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Not settled</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Exact production model mix</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Not settled</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Final multi-round consensus implementation</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Intended direction exists; validated design not established</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Final customer integration pattern</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Not settled</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Human Review final UX</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Not settled</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Customer-specific OCG configuration model</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Direction established; production implementation not settled</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Final support model</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Not settled</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Final Marketplace offer structure</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Not settled</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Exact investor ask</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Not settled</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Final long-term recurring revenue unit</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Not settled</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Patent/trademark actions</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Not established as completed rights</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Production certifications / assurance</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No certification inferred</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Realized customer savings</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No claim until authorized customer outcomes establish it</w:t>
            </w:r>
          </w:p>
        </w:tc>
      </w:tr>
    </w:tbl>
    <w:p/>
    <w:p>
      <w:r>
        <w:t>These are legitimate unknowns. They do not weaken the plan. They identify where evidence still needs to be created.</w:t>
      </w:r>
    </w:p>
    <w:p>
      <w:pPr>
        <w:pStyle w:val="Heading2"/>
      </w:pPr>
      <w:r>
        <w:t>20.9 Superseded / Historical Direction</w:t>
      </w:r>
    </w:p>
    <w:p>
      <w:r>
        <w:t>Earlier medical, HIPAA, academic, and other non-legal concepts are not part of the current market-entry product. Earlier calendar-based development phases do not represent the current deployment roadmap.</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CURRENT ROADMAP</w:t>
              <w:br/>
            </w:r>
            <w:r>
              <w:t>Demonstrable DRE → Live Validation &amp; Customer Evidence → Product / Documentation Completion → Enterprise Hardening &amp; Commercial Deployment.</w:t>
            </w:r>
          </w:p>
        </w:tc>
      </w:tr>
    </w:tbl>
    <w:p/>
    <w:p>
      <w:r>
        <w:t>Historical material remains useful for architectural lineage where relevant. It should not silently regain authority because it still exists in an older document.</w:t>
      </w:r>
    </w:p>
    <w:p>
      <w:pPr>
        <w:pStyle w:val="Heading2"/>
      </w:pPr>
      <w:r>
        <w:t>20.10 Current Evidence Strength</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AREA</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CURRENT EVIDENCE STRENGTH</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Product concept</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Strongly established</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Legal-only market direction</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Established</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Deterministic architecture</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Implemented foundation</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Consensus architecture</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Implemented current form + intended future evolution</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Orchestration</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Implemented/documented foundation</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Synthetic demo data</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Established</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Public working demo</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In progress</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Azure architecture direction</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Strongly documented</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Azure production environment</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Incomplete</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Infrastructure validation methodology</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Established</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Customer validation</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Beginning / not yet sufficient</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Design-partner evidence</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Not yet established</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Commercial pricing</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Hypothesis</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Revenue</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Must be reported only when actually established</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Marketplace</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Future</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Co-sell</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Future</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Enterprise production proof</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Future</w:t>
            </w:r>
          </w:p>
        </w:tc>
      </w:tr>
    </w:tbl>
    <w:p/>
    <w:p>
      <w:r>
        <w:t>This table is important because it prevents one strong area from lending artificial certainty to another.</w:t>
      </w:r>
    </w:p>
    <w:p>
      <w:pPr>
        <w:pStyle w:val="Heading2"/>
      </w:pPr>
      <w:r>
        <w:t>20.11 Current DRE Maturity</w:t>
      </w:r>
    </w:p>
    <w:p>
      <w:r>
        <w:t>DRE is no longer merely an idea. It has product definition, architecture, code-backed processing components, synthetic transactions, consensus behavior, orchestration, Azure infrastructure definitions, validation methodology, substantive documentation, market positioning, investor strategy, and a defined demonstration model.</w:t>
      </w:r>
    </w:p>
    <w:p>
      <w:r>
        <w:t>But it is also not yet a finished enterprise product.</w:t>
      </w:r>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NEXT MATURITY BOUNDARY</w:t>
              <w:br/>
            </w:r>
            <w:r>
              <w:t>Can another person use the product and produce a meaningful result without Jamie having to explain the concept into existence?</w:t>
            </w:r>
          </w:p>
        </w:tc>
      </w:tr>
    </w:tbl>
    <w:p/>
    <w:p>
      <w:r>
        <w:t>Once that happens, the company gains a different kind of asset. It has a product that can begin generating its own evidence.</w:t>
      </w:r>
    </w:p>
    <w:p>
      <w:pPr>
        <w:pStyle w:val="Heading2"/>
      </w:pPr>
      <w:r>
        <w:t>20.12 Current-State Executive View</w:t>
      </w:r>
    </w:p>
    <w:tbl>
      <w:tblPr>
        <w:tblStyle w:val="TableGrid"/>
        <w:tblW w:type="auto" w:w="0"/>
        <w:jc w:val="center"/>
        <w:tblLook w:firstColumn="1" w:firstRow="1" w:lastColumn="0" w:lastRow="0" w:noHBand="0" w:noVBand="1" w:val="04A0"/>
      </w:tblPr>
      <w:tblGrid>
        <w:gridCol w:w="4939"/>
        <w:gridCol w:w="4939"/>
      </w:tblGrid>
      <w:tr>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STATE</w:t>
            </w:r>
          </w:p>
        </w:tc>
        <w:tc>
          <w:tcPr>
            <w:tcW w:type="dxa" w:w="4939"/>
            <w:vAlign w:val="center"/>
            <w:tcMar>
              <w:top w:w="105" w:type="dxa"/>
              <w:start w:w="105" w:type="dxa"/>
              <w:bottom w:w="105" w:type="dxa"/>
              <w:end w:w="105" w:type="dxa"/>
            </w:tcMar>
            <w:shd w:fill="16324F"/>
          </w:tcPr>
          <w:p>
            <w:pPr>
              <w:spacing w:after="0"/>
            </w:pPr>
            <w:r/>
            <w:r>
              <w:rPr>
                <w:rFonts w:ascii="Aptos" w:hAnsi="Aptos"/>
                <w:b/>
                <w:color w:val="FFFFFF"/>
                <w:sz w:val="16"/>
              </w:rPr>
              <w:t>EXECUTIVE VIEW</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Established</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Core product, legal-market direction, deterministic-first architecture, current consensus model, orchestration, Azure foundation, validation direction, and technical documentation exist.</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In Progress</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Source-backed website and working public synthetic-data demonstration are being assembled.</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Demo Now</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Make one-file-in/two-files-out genuinely operable and capture evaluator feedback.</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Build Next</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Normalize legal-billing formats, mature OCG policy handling, improve consensus/human-review/audit architecture, and let customer evidence direct priorities.</w:t>
            </w:r>
          </w:p>
        </w:tc>
      </w:tr>
      <w:tr>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Production</w:t>
            </w:r>
          </w:p>
        </w:tc>
        <w:tc>
          <w:tcPr>
            <w:tcW w:type="dxa" w:w="4939"/>
            <w:vAlign w:val="center"/>
            <w:tcMar>
              <w:top w:w="105" w:type="dxa"/>
              <w:start w:w="105" w:type="dxa"/>
              <w:bottom w:w="105" w:type="dxa"/>
              <w:end w:w="105" w:type="dxa"/>
            </w:tcMar>
            <w:shd w:fill="FFFFFF"/>
          </w:tcPr>
          <w:p>
            <w:pPr>
              <w:spacing w:after="0"/>
            </w:pPr>
            <w:r/>
            <w:r>
              <w:rPr>
                <w:rFonts w:ascii="Aptos" w:hAnsi="Aptos"/>
                <w:b w:val="0"/>
                <w:color w:val="24313C"/>
                <w:sz w:val="16"/>
              </w:rPr>
              <w:t>Complete and validate private customer-owned Azure architecture, identity, persistence, observability, recovery, governance, repeatable deployment, and commercial support.</w:t>
            </w:r>
          </w:p>
        </w:tc>
      </w:tr>
      <w:tr>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Unknown</w:t>
            </w:r>
          </w:p>
        </w:tc>
        <w:tc>
          <w:tcPr>
            <w:tcW w:type="dxa" w:w="4939"/>
            <w:vAlign w:val="center"/>
            <w:tcMar>
              <w:top w:w="105" w:type="dxa"/>
              <w:start w:w="105" w:type="dxa"/>
              <w:bottom w:w="105" w:type="dxa"/>
              <w:end w:w="105" w:type="dxa"/>
            </w:tcMar>
            <w:shd w:fill="F4F7F9"/>
          </w:tcPr>
          <w:p>
            <w:pPr>
              <w:spacing w:after="0"/>
            </w:pPr>
            <w:r/>
            <w:r>
              <w:rPr>
                <w:rFonts w:ascii="Aptos" w:hAnsi="Aptos"/>
                <w:b w:val="0"/>
                <w:color w:val="24313C"/>
                <w:sz w:val="16"/>
              </w:rPr>
              <w:t>Keep pricing, final model composition, exact customer integration, final Human Review experience, and evidence-dependent decisions open until established.</w:t>
            </w:r>
          </w:p>
        </w:tc>
      </w:tr>
    </w:tbl>
    <w:p/>
    <w:tbl>
      <w:tblPr>
        <w:tblW w:type="auto" w:w="0"/>
        <w:jc w:val="center"/>
        <w:tblLayout w:type="fixed"/>
        <w:tblLook w:firstColumn="1" w:firstRow="1" w:lastColumn="0" w:lastRow="0" w:noHBand="0" w:noVBand="1" w:val="04A0"/>
      </w:tblPr>
      <w:tblGrid>
        <w:gridCol w:w="173"/>
        <w:gridCol w:w="9432"/>
      </w:tblGrid>
      <w:tr>
        <w:tc>
          <w:tcPr>
            <w:tcW w:type="dxa" w:w="4939"/>
            <w:shd w:fill="2E7D7A"/>
          </w:tcPr>
          <w:p>
            <w:r/>
          </w:p>
        </w:tc>
        <w:tc>
          <w:tcPr>
            <w:tcW w:type="dxa" w:w="4939"/>
            <w:shd w:fill="EAF1F5"/>
          </w:tcPr>
          <w:p>
            <w:pPr>
              <w:pStyle w:val="Callout"/>
            </w:pPr>
            <w:r>
              <w:rPr>
                <w:color w:val="2E7D7A"/>
                <w:sz w:val="16"/>
              </w:rPr>
              <w:t>DRE IS</w:t>
              <w:br/>
            </w:r>
            <w:r>
              <w:t>A serious legal-billing product with substantial architecture and implementation already established, moving now from internally demonstrated capability toward externally observable proof.</w:t>
            </w:r>
          </w:p>
        </w:tc>
      </w:tr>
    </w:tbl>
    <w:p/>
    <w:sectPr w:rsidR="00FC693F" w:rsidRPr="0006063C" w:rsidSect="00034616">
      <w:headerReference w:type="default" r:id="rId9"/>
      <w:footerReference w:type="default" r:id="rId10"/>
      <w:pgSz w:w="12240" w:h="15840"/>
      <w:pgMar w:top="1037" w:right="1181" w:bottom="1037" w:left="1181"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ptos" w:hAnsi="Aptos"/>
        <w:b/>
        <w:color w:val="2E7D7A"/>
        <w:sz w:val="16"/>
      </w:rPr>
      <w:t>ENGINEERED LAUNCH  •  INTERNAL PLANNING</w:t>
    </w:r>
  </w:p>
  <w:p>
    <w:pPr>
      <w:jc w:val="right"/>
    </w:pPr>
    <w:r>
      <w:fldChar w:fldCharType="begin"/>
      <w:instrText> PAGE </w:instrText>
      <w:fldChar w:fldCharType="end"/>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rFonts w:ascii="Aptos" w:hAnsi="Aptos"/>
        <w:b/>
        <w:color w:val="2E7D7A"/>
        <w:sz w:val="17"/>
      </w:rPr>
      <w:t>DRE  |  INTERNAL PRODUCT, DEPLOYMENT &amp; COMMERCIALIZATION PLAN</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updateFields w:val="tru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64" w:lineRule="auto"/>
    </w:pPr>
    <w:rPr>
      <w:rFonts w:ascii="Aptos" w:hAnsi="Aptos"/>
      <w:color w:val="24313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100"/>
      <w:outlineLvl w:val="0"/>
    </w:pPr>
    <w:rPr>
      <w:rFonts w:asciiTheme="majorHAnsi" w:eastAsiaTheme="majorEastAsia" w:hAnsiTheme="majorHAnsi" w:cstheme="majorBidi" w:ascii="Aptos Display" w:hAnsi="Aptos Display"/>
      <w:b/>
      <w:bCs/>
      <w:color w:val="16324F"/>
      <w:sz w:val="40"/>
      <w:szCs w:val="28"/>
    </w:rPr>
  </w:style>
  <w:style w:type="paragraph" w:styleId="Heading2">
    <w:name w:val="heading 2"/>
    <w:basedOn w:val="Normal"/>
    <w:next w:val="Normal"/>
    <w:link w:val="Heading2Char"/>
    <w:uiPriority w:val="9"/>
    <w:unhideWhenUsed/>
    <w:qFormat/>
    <w:rsid w:val="00FC693F"/>
    <w:pPr>
      <w:keepNext/>
      <w:keepLines/>
      <w:spacing w:before="280" w:after="100"/>
      <w:outlineLvl w:val="1"/>
    </w:pPr>
    <w:rPr>
      <w:rFonts w:asciiTheme="majorHAnsi" w:eastAsiaTheme="majorEastAsia" w:hAnsiTheme="majorHAnsi" w:cstheme="majorBidi" w:ascii="Aptos Display" w:hAnsi="Aptos Display"/>
      <w:b/>
      <w:bCs/>
      <w:color w:val="1F5F8B"/>
      <w:sz w:val="28"/>
      <w:szCs w:val="26"/>
    </w:rPr>
  </w:style>
  <w:style w:type="paragraph" w:styleId="Heading3">
    <w:name w:val="heading 3"/>
    <w:basedOn w:val="Normal"/>
    <w:next w:val="Normal"/>
    <w:link w:val="Heading3Char"/>
    <w:uiPriority w:val="9"/>
    <w:unhideWhenUsed/>
    <w:qFormat/>
    <w:rsid w:val="00FC693F"/>
    <w:pPr>
      <w:keepNext/>
      <w:keepLines/>
      <w:spacing w:before="280" w:after="100"/>
      <w:outlineLvl w:val="2"/>
    </w:pPr>
    <w:rPr>
      <w:rFonts w:asciiTheme="majorHAnsi" w:eastAsiaTheme="majorEastAsia" w:hAnsiTheme="majorHAnsi" w:cstheme="majorBidi" w:ascii="Aptos Display" w:hAnsi="Aptos Display"/>
      <w:b/>
      <w:bCs/>
      <w:color w:val="2E7D7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Callout">
    <w:name w:val="Callout"/>
    <w:rPr>
      <w:rFonts w:ascii="Aptos" w:hAnsi="Aptos"/>
      <w:b/>
      <w:color w:val="16324F"/>
      <w:sz w:val="21"/>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oreProperties xmlns:dc="http://purl.org/dc/elements/1.1/" xmlns:dcterms="http://purl.org/dc/terms/" xmlns:xsi="http://www.w3.org/2001/XMLSchema-instance" xmlns="http://schemas.openxmlformats.org/package/2006/metadata/core-properties">
  <dc:title>DRE — Internal Product, Deployment &amp; Commercialization Plan</dc:title>
  <dc:subject>Part 5 — Sections 17–20</dc:subject>
  <dc:creator>Jamie Schallert</dc:creator>
  <keywords/>
  <dc:description>generated by python-docx</dc:description>
  <lastModifiedBy>Jamie Schallert</lastModifiedBy>
  <revision>1</revision>
  <dcterms:created xsi:type="dcterms:W3CDTF">2026-09-14T01:14:13.3147230Z</dcterms:created>
  <dcterms:modified xsi:type="dcterms:W3CDTF">2026-09-14T01:14:13.3147230Z</dcterms:modified>
  <category/>
</coreProperties>
</file>