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13. Microsoft / Azure Strategy</w:t>
      </w:r>
    </w:p>
    <w:p>
      <w:r>
        <w:t>DRE’s Microsoft strategy is not limited to choosing Azure as a hosting platform.</w:t>
      </w:r>
    </w:p>
    <w:p>
      <w:r>
        <w:t>The broader strategy aligns product architecture, Azure consumption, Microsoft for Startups progression, customer-owned Azure deployment, Microsoft Marketplace distribution, and eventually Microsoft’s co-sell ecosystem.</w:t>
      </w:r>
    </w:p>
    <w:p>
      <w:r>
        <w:t>DRE is deliberately being built around Microsoft infrastructure because the intended customer is an enterprise legal organization that can deploy the product into its own Azure environment and continue operating within its existing Microsoft ecosystem.</w:t>
      </w:r>
    </w:p>
    <w:p>
      <w:r>
        <w:t>That creates two connected relationships:</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RELATIONSHIP</w:t>
            </w:r>
          </w:p>
        </w:tc>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VALUE</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6"/>
              </w:rPr>
              <w:t>Customer value</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6"/>
              </w:rPr>
              <w:t>DRE operates where the customer already works.</w:t>
            </w:r>
          </w:p>
        </w:tc>
      </w:tr>
      <w:tr>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6"/>
              </w:rPr>
              <w:t>Microsoft value</w:t>
            </w:r>
          </w:p>
        </w:tc>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6"/>
              </w:rPr>
              <w:t>Adoption of DRE can create legitimate Azure workload and service consumption.</w:t>
            </w:r>
          </w:p>
        </w:tc>
      </w:tr>
    </w:tbl>
    <w:p/>
    <w:p>
      <w:r>
        <w:t>Microsoft’s current startup program explicitly connects Azure development with eventual Marketplace and co-sell opportunities, making those objectives compatible with the direction already established for DRE.</w:t>
      </w:r>
    </w:p>
    <w:p>
      <w:pPr>
        <w:pStyle w:val="Heading2"/>
      </w:pPr>
      <w:r>
        <w:t>13.1 Microsoft for Startups</w:t>
      </w:r>
    </w:p>
    <w:p>
      <w:r>
        <w:t>Microsoft for Startups is the immediate Microsoft program relevant to DRE.</w:t>
      </w:r>
    </w:p>
    <w:p>
      <w:pPr>
        <w:pStyle w:val="ListBullet"/>
        <w:spacing w:after="60"/>
        <w:ind w:left="360" w:hanging="230"/>
      </w:pPr>
      <w:r>
        <w:t>A software product</w:t>
      </w:r>
    </w:p>
    <w:p>
      <w:pPr>
        <w:pStyle w:val="ListBullet"/>
        <w:spacing w:after="60"/>
        <w:ind w:left="360" w:hanging="230"/>
      </w:pPr>
      <w:r>
        <w:t>B2B</w:t>
      </w:r>
    </w:p>
    <w:p>
      <w:pPr>
        <w:pStyle w:val="ListBullet"/>
        <w:spacing w:after="60"/>
        <w:ind w:left="360" w:hanging="230"/>
      </w:pPr>
      <w:r>
        <w:t>AI-enabled</w:t>
      </w:r>
    </w:p>
    <w:p>
      <w:pPr>
        <w:pStyle w:val="ListBullet"/>
        <w:spacing w:after="60"/>
        <w:ind w:left="360" w:hanging="230"/>
      </w:pPr>
      <w:r>
        <w:t>Azure-oriented</w:t>
      </w:r>
    </w:p>
    <w:p>
      <w:pPr>
        <w:pStyle w:val="ListBullet"/>
        <w:spacing w:after="60"/>
        <w:ind w:left="360" w:hanging="230"/>
      </w:pPr>
      <w:r>
        <w:t>Moving toward MVP/product-market validation</w:t>
      </w:r>
    </w:p>
    <w:p>
      <w:pPr>
        <w:pStyle w:val="ListBullet"/>
        <w:spacing w:after="60"/>
        <w:ind w:left="360" w:hanging="230"/>
      </w:pPr>
      <w:r>
        <w:t>Intended for enterprise customers</w:t>
      </w:r>
    </w:p>
    <w:p>
      <w:pPr>
        <w:pStyle w:val="ListBullet"/>
        <w:spacing w:after="60"/>
        <w:ind w:left="360" w:hanging="230"/>
      </w:pPr>
      <w:r>
        <w:t>Designed around continuing Azure workloads rather than a temporary demonstration environment</w:t>
      </w:r>
    </w:p>
    <w:p>
      <w:r>
        <w:t>As of September 2026, Microsoft describes the program as supporting startups from early development through production and enterprise growth, with benefits increasing as startups demonstrate verified progress, service adoption, and sustained Azure usage.</w:t>
      </w:r>
    </w:p>
    <w:p>
      <w:r>
        <w:t>The Microsoft relationship should therefore develop alongside the actual DRE product rather than as a separate benefits-collection exercise.</w:t>
      </w:r>
    </w:p>
    <w:p>
      <w:pPr>
        <w:pStyle w:val="Heading2"/>
      </w:pPr>
      <w:r>
        <w:t>13.2 Current Program Eligibility</w:t>
      </w:r>
    </w:p>
    <w:p>
      <w:r>
        <w:t>Microsoft’s current published application criteria describe eligible companies as privately held B2B startups building software, AI, or technology products, generally from pre-seed through Series C, in supported regions.</w:t>
      </w:r>
    </w:p>
    <w:p>
      <w:pPr>
        <w:pStyle w:val="ListBullet"/>
        <w:spacing w:after="60"/>
        <w:ind w:left="360" w:hanging="230"/>
      </w:pPr>
      <w:r>
        <w:t>Registered startup name matching legal documents</w:t>
      </w:r>
    </w:p>
    <w:p>
      <w:pPr>
        <w:pStyle w:val="ListBullet"/>
        <w:spacing w:after="60"/>
        <w:ind w:left="360" w:hanging="230"/>
      </w:pPr>
      <w:r>
        <w:t>Industry</w:t>
      </w:r>
    </w:p>
    <w:p>
      <w:pPr>
        <w:pStyle w:val="ListBullet"/>
        <w:spacing w:after="60"/>
        <w:ind w:left="360" w:hanging="230"/>
      </w:pPr>
      <w:r>
        <w:t>Website</w:t>
      </w:r>
    </w:p>
    <w:p>
      <w:pPr>
        <w:pStyle w:val="ListBullet"/>
        <w:spacing w:after="60"/>
        <w:ind w:left="360" w:hanging="230"/>
      </w:pPr>
      <w:r>
        <w:t>Business address</w:t>
      </w:r>
    </w:p>
    <w:p>
      <w:pPr>
        <w:pStyle w:val="ListBullet"/>
        <w:spacing w:after="60"/>
        <w:ind w:left="360" w:hanging="230"/>
      </w:pPr>
      <w:r>
        <w:t>Payment information</w:t>
      </w:r>
    </w:p>
    <w:p>
      <w:pPr>
        <w:pStyle w:val="ListBullet"/>
        <w:spacing w:after="60"/>
        <w:ind w:left="360" w:hanging="230"/>
      </w:pPr>
      <w:r>
        <w:t>Personal Microsoft account</w:t>
      </w:r>
    </w:p>
    <w:p>
      <w:pPr>
        <w:pStyle w:val="ListBullet"/>
        <w:spacing w:after="60"/>
        <w:ind w:left="360" w:hanging="230"/>
      </w:pPr>
      <w:r>
        <w:t>Phone number</w:t>
      </w:r>
    </w:p>
    <w:p>
      <w:pPr>
        <w:pStyle w:val="ListBullet"/>
        <w:spacing w:after="60"/>
        <w:ind w:left="360" w:hanging="230"/>
      </w:pPr>
      <w:r>
        <w:t>Time zone</w:t>
      </w:r>
    </w:p>
    <w:p>
      <w:pPr>
        <w:pStyle w:val="ListBullet"/>
        <w:spacing w:after="60"/>
        <w:ind w:left="360" w:hanging="230"/>
      </w:pPr>
      <w:r>
        <w:t>Optional Investor Network referral code</w:t>
      </w:r>
    </w:p>
    <w:p>
      <w:pPr>
        <w:pStyle w:val="Heading2"/>
      </w:pPr>
      <w:r>
        <w:t>13.3 Startup Credit Progression</w:t>
      </w:r>
    </w:p>
    <w:p>
      <w:r>
        <w:t>Microsoft’s current standard progression provides increasingly large Startup credit milestones based on actual Azure adoption.</w:t>
      </w:r>
    </w:p>
    <w:tbl>
      <w:tblPr>
        <w:tblStyle w:val="TableGrid"/>
        <w:tblW w:type="auto" w:w="0"/>
        <w:jc w:val="center"/>
        <w:tblLook w:firstColumn="1" w:firstRow="1" w:lastColumn="0" w:lastRow="0" w:noHBand="0" w:noVBand="1" w:val="04A0"/>
      </w:tblPr>
      <w:tblGrid>
        <w:gridCol w:w="3293"/>
        <w:gridCol w:w="3293"/>
        <w:gridCol w:w="3293"/>
      </w:tblGrid>
      <w:tr>
        <w:tc>
          <w:tcPr>
            <w:tcW w:type="dxa" w:w="3293"/>
            <w:vAlign w:val="center"/>
            <w:tcMar>
              <w:top w:w="110" w:type="dxa"/>
              <w:start w:w="110" w:type="dxa"/>
              <w:bottom w:w="110" w:type="dxa"/>
              <w:end w:w="110" w:type="dxa"/>
            </w:tcMar>
            <w:shd w:fill="16324F"/>
          </w:tcPr>
          <w:p>
            <w:pPr>
              <w:spacing w:after="0"/>
            </w:pPr>
            <w:r/>
            <w:r>
              <w:rPr>
                <w:rFonts w:ascii="Aptos" w:hAnsi="Aptos"/>
                <w:b/>
                <w:color w:val="FFFFFF"/>
                <w:sz w:val="16"/>
              </w:rPr>
              <w:t>MILESTONE</w:t>
            </w:r>
          </w:p>
        </w:tc>
        <w:tc>
          <w:tcPr>
            <w:tcW w:type="dxa" w:w="3293"/>
            <w:vAlign w:val="center"/>
            <w:tcMar>
              <w:top w:w="110" w:type="dxa"/>
              <w:start w:w="110" w:type="dxa"/>
              <w:bottom w:w="110" w:type="dxa"/>
              <w:end w:w="110" w:type="dxa"/>
            </w:tcMar>
            <w:shd w:fill="16324F"/>
          </w:tcPr>
          <w:p>
            <w:pPr>
              <w:spacing w:after="0"/>
            </w:pPr>
            <w:r/>
            <w:r>
              <w:rPr>
                <w:rFonts w:ascii="Aptos" w:hAnsi="Aptos"/>
                <w:b/>
                <w:color w:val="FFFFFF"/>
                <w:sz w:val="16"/>
              </w:rPr>
              <w:t>STARTUP CREDITS</w:t>
            </w:r>
          </w:p>
        </w:tc>
        <w:tc>
          <w:tcPr>
            <w:tcW w:type="dxa" w:w="3293"/>
            <w:vAlign w:val="center"/>
            <w:tcMar>
              <w:top w:w="110" w:type="dxa"/>
              <w:start w:w="110" w:type="dxa"/>
              <w:bottom w:w="110" w:type="dxa"/>
              <w:end w:w="110" w:type="dxa"/>
            </w:tcMar>
            <w:shd w:fill="16324F"/>
          </w:tcPr>
          <w:p>
            <w:pPr>
              <w:spacing w:after="0"/>
            </w:pPr>
            <w:r/>
            <w:r>
              <w:rPr>
                <w:rFonts w:ascii="Aptos" w:hAnsi="Aptos"/>
                <w:b/>
                <w:color w:val="FFFFFF"/>
                <w:sz w:val="16"/>
              </w:rPr>
              <w:t>CURRENT PUBLISHED REQUIREMENT</w:t>
            </w:r>
          </w:p>
        </w:tc>
      </w:tr>
      <w:tr>
        <w:tc>
          <w:tcPr>
            <w:tcW w:type="dxa" w:w="3293"/>
            <w:vAlign w:val="center"/>
            <w:tcMar>
              <w:top w:w="110" w:type="dxa"/>
              <w:start w:w="110" w:type="dxa"/>
              <w:bottom w:w="110" w:type="dxa"/>
              <w:end w:w="110" w:type="dxa"/>
            </w:tcMar>
            <w:shd w:fill="FFFFFF"/>
          </w:tcPr>
          <w:p>
            <w:pPr>
              <w:spacing w:after="0"/>
            </w:pPr>
            <w:r/>
            <w:r>
              <w:rPr>
                <w:rFonts w:ascii="Aptos" w:hAnsi="Aptos"/>
                <w:b w:val="0"/>
                <w:color w:val="24313C"/>
                <w:sz w:val="16"/>
              </w:rPr>
              <w:t>1</w:t>
            </w:r>
          </w:p>
        </w:tc>
        <w:tc>
          <w:tcPr>
            <w:tcW w:type="dxa" w:w="3293"/>
            <w:vAlign w:val="center"/>
            <w:tcMar>
              <w:top w:w="110" w:type="dxa"/>
              <w:start w:w="110" w:type="dxa"/>
              <w:bottom w:w="110" w:type="dxa"/>
              <w:end w:w="110" w:type="dxa"/>
            </w:tcMar>
            <w:shd w:fill="FFFFFF"/>
          </w:tcPr>
          <w:p>
            <w:pPr>
              <w:spacing w:after="0"/>
            </w:pPr>
            <w:r/>
            <w:r>
              <w:rPr>
                <w:rFonts w:ascii="Aptos" w:hAnsi="Aptos"/>
                <w:b w:val="0"/>
                <w:color w:val="24313C"/>
                <w:sz w:val="16"/>
              </w:rPr>
              <w:t>$200</w:t>
            </w:r>
          </w:p>
        </w:tc>
        <w:tc>
          <w:tcPr>
            <w:tcW w:type="dxa" w:w="3293"/>
            <w:vAlign w:val="center"/>
            <w:tcMar>
              <w:top w:w="110" w:type="dxa"/>
              <w:start w:w="110" w:type="dxa"/>
              <w:bottom w:w="110" w:type="dxa"/>
              <w:end w:w="110" w:type="dxa"/>
            </w:tcMar>
            <w:shd w:fill="FFFFFF"/>
          </w:tcPr>
          <w:p>
            <w:pPr>
              <w:spacing w:after="0"/>
            </w:pPr>
            <w:r/>
            <w:r>
              <w:rPr>
                <w:rFonts w:ascii="Aptos" w:hAnsi="Aptos"/>
                <w:b w:val="0"/>
                <w:color w:val="24313C"/>
                <w:sz w:val="16"/>
              </w:rPr>
              <w:t>Azure signup and identity verification</w:t>
            </w:r>
          </w:p>
        </w:tc>
      </w:tr>
      <w:tr>
        <w:tc>
          <w:tcPr>
            <w:tcW w:type="dxa" w:w="3293"/>
            <w:vAlign w:val="center"/>
            <w:tcMar>
              <w:top w:w="110" w:type="dxa"/>
              <w:start w:w="110" w:type="dxa"/>
              <w:bottom w:w="110" w:type="dxa"/>
              <w:end w:w="110" w:type="dxa"/>
            </w:tcMar>
            <w:shd w:fill="F4F7F9"/>
          </w:tcPr>
          <w:p>
            <w:pPr>
              <w:spacing w:after="0"/>
            </w:pPr>
            <w:r/>
            <w:r>
              <w:rPr>
                <w:rFonts w:ascii="Aptos" w:hAnsi="Aptos"/>
                <w:b w:val="0"/>
                <w:color w:val="24313C"/>
                <w:sz w:val="16"/>
              </w:rPr>
              <w:t>2</w:t>
            </w:r>
          </w:p>
        </w:tc>
        <w:tc>
          <w:tcPr>
            <w:tcW w:type="dxa" w:w="3293"/>
            <w:vAlign w:val="center"/>
            <w:tcMar>
              <w:top w:w="110" w:type="dxa"/>
              <w:start w:w="110" w:type="dxa"/>
              <w:bottom w:w="110" w:type="dxa"/>
              <w:end w:w="110" w:type="dxa"/>
            </w:tcMar>
            <w:shd w:fill="F4F7F9"/>
          </w:tcPr>
          <w:p>
            <w:pPr>
              <w:spacing w:after="0"/>
            </w:pPr>
            <w:r/>
            <w:r>
              <w:rPr>
                <w:rFonts w:ascii="Aptos" w:hAnsi="Aptos"/>
                <w:b w:val="0"/>
                <w:color w:val="24313C"/>
                <w:sz w:val="16"/>
              </w:rPr>
              <w:t>$5,000</w:t>
            </w:r>
          </w:p>
        </w:tc>
        <w:tc>
          <w:tcPr>
            <w:tcW w:type="dxa" w:w="3293"/>
            <w:vAlign w:val="center"/>
            <w:tcMar>
              <w:top w:w="110" w:type="dxa"/>
              <w:start w:w="110" w:type="dxa"/>
              <w:bottom w:w="110" w:type="dxa"/>
              <w:end w:w="110" w:type="dxa"/>
            </w:tcMar>
            <w:shd w:fill="F4F7F9"/>
          </w:tcPr>
          <w:p>
            <w:pPr>
              <w:spacing w:after="0"/>
            </w:pPr>
            <w:r/>
            <w:r>
              <w:rPr>
                <w:rFonts w:ascii="Aptos" w:hAnsi="Aptos"/>
                <w:b w:val="0"/>
                <w:color w:val="24313C"/>
                <w:sz w:val="16"/>
              </w:rPr>
              <w:t>Business verification</w:t>
            </w:r>
          </w:p>
        </w:tc>
      </w:tr>
      <w:tr>
        <w:tc>
          <w:tcPr>
            <w:tcW w:type="dxa" w:w="3293"/>
            <w:vAlign w:val="center"/>
            <w:tcMar>
              <w:top w:w="110" w:type="dxa"/>
              <w:start w:w="110" w:type="dxa"/>
              <w:bottom w:w="110" w:type="dxa"/>
              <w:end w:w="110" w:type="dxa"/>
            </w:tcMar>
            <w:shd w:fill="FFFFFF"/>
          </w:tcPr>
          <w:p>
            <w:pPr>
              <w:spacing w:after="0"/>
            </w:pPr>
            <w:r/>
            <w:r>
              <w:rPr>
                <w:rFonts w:ascii="Aptos" w:hAnsi="Aptos"/>
                <w:b w:val="0"/>
                <w:color w:val="24313C"/>
                <w:sz w:val="16"/>
              </w:rPr>
              <w:t>3</w:t>
            </w:r>
          </w:p>
        </w:tc>
        <w:tc>
          <w:tcPr>
            <w:tcW w:type="dxa" w:w="3293"/>
            <w:vAlign w:val="center"/>
            <w:tcMar>
              <w:top w:w="110" w:type="dxa"/>
              <w:start w:w="110" w:type="dxa"/>
              <w:bottom w:w="110" w:type="dxa"/>
              <w:end w:w="110" w:type="dxa"/>
            </w:tcMar>
            <w:shd w:fill="FFFFFF"/>
          </w:tcPr>
          <w:p>
            <w:pPr>
              <w:spacing w:after="0"/>
            </w:pPr>
            <w:r/>
            <w:r>
              <w:rPr>
                <w:rFonts w:ascii="Aptos" w:hAnsi="Aptos"/>
                <w:b w:val="0"/>
                <w:color w:val="24313C"/>
                <w:sz w:val="16"/>
              </w:rPr>
              <w:t>$25,000</w:t>
            </w:r>
          </w:p>
        </w:tc>
        <w:tc>
          <w:tcPr>
            <w:tcW w:type="dxa" w:w="3293"/>
            <w:vAlign w:val="center"/>
            <w:tcMar>
              <w:top w:w="110" w:type="dxa"/>
              <w:start w:w="110" w:type="dxa"/>
              <w:bottom w:w="110" w:type="dxa"/>
              <w:end w:w="110" w:type="dxa"/>
            </w:tcMar>
            <w:shd w:fill="FFFFFF"/>
          </w:tcPr>
          <w:p>
            <w:pPr>
              <w:spacing w:after="0"/>
            </w:pPr>
            <w:r/>
            <w:r>
              <w:rPr>
                <w:rFonts w:ascii="Aptos" w:hAnsi="Aptos"/>
                <w:b w:val="0"/>
                <w:color w:val="24313C"/>
                <w:sz w:val="16"/>
              </w:rPr>
              <w:t>5+ active Azure workloads for approximately 60 days</w:t>
            </w:r>
          </w:p>
        </w:tc>
      </w:tr>
      <w:tr>
        <w:tc>
          <w:tcPr>
            <w:tcW w:type="dxa" w:w="3293"/>
            <w:vAlign w:val="center"/>
            <w:tcMar>
              <w:top w:w="110" w:type="dxa"/>
              <w:start w:w="110" w:type="dxa"/>
              <w:bottom w:w="110" w:type="dxa"/>
              <w:end w:w="110" w:type="dxa"/>
            </w:tcMar>
            <w:shd w:fill="F4F7F9"/>
          </w:tcPr>
          <w:p>
            <w:pPr>
              <w:spacing w:after="0"/>
            </w:pPr>
            <w:r/>
            <w:r>
              <w:rPr>
                <w:rFonts w:ascii="Aptos" w:hAnsi="Aptos"/>
                <w:b w:val="0"/>
                <w:color w:val="24313C"/>
                <w:sz w:val="16"/>
              </w:rPr>
              <w:t>4</w:t>
            </w:r>
          </w:p>
        </w:tc>
        <w:tc>
          <w:tcPr>
            <w:tcW w:type="dxa" w:w="3293"/>
            <w:vAlign w:val="center"/>
            <w:tcMar>
              <w:top w:w="110" w:type="dxa"/>
              <w:start w:w="110" w:type="dxa"/>
              <w:bottom w:w="110" w:type="dxa"/>
              <w:end w:w="110" w:type="dxa"/>
            </w:tcMar>
            <w:shd w:fill="F4F7F9"/>
          </w:tcPr>
          <w:p>
            <w:pPr>
              <w:spacing w:after="0"/>
            </w:pPr>
            <w:r/>
            <w:r>
              <w:rPr>
                <w:rFonts w:ascii="Aptos" w:hAnsi="Aptos"/>
                <w:b w:val="0"/>
                <w:color w:val="24313C"/>
                <w:sz w:val="16"/>
              </w:rPr>
              <w:t>$50,000</w:t>
            </w:r>
          </w:p>
        </w:tc>
        <w:tc>
          <w:tcPr>
            <w:tcW w:type="dxa" w:w="3293"/>
            <w:vAlign w:val="center"/>
            <w:tcMar>
              <w:top w:w="110" w:type="dxa"/>
              <w:start w:w="110" w:type="dxa"/>
              <w:bottom w:w="110" w:type="dxa"/>
              <w:end w:w="110" w:type="dxa"/>
            </w:tcMar>
            <w:shd w:fill="F4F7F9"/>
          </w:tcPr>
          <w:p>
            <w:pPr>
              <w:spacing w:after="0"/>
            </w:pPr>
            <w:r/>
            <w:r>
              <w:rPr>
                <w:rFonts w:ascii="Aptos" w:hAnsi="Aptos"/>
                <w:b w:val="0"/>
                <w:color w:val="24313C"/>
                <w:sz w:val="16"/>
              </w:rPr>
              <w:t>7+ active Azure workloads for approximately 60 days</w:t>
            </w:r>
          </w:p>
        </w:tc>
      </w:tr>
      <w:tr>
        <w:tc>
          <w:tcPr>
            <w:tcW w:type="dxa" w:w="3293"/>
            <w:vAlign w:val="center"/>
            <w:tcMar>
              <w:top w:w="110" w:type="dxa"/>
              <w:start w:w="110" w:type="dxa"/>
              <w:bottom w:w="110" w:type="dxa"/>
              <w:end w:w="110" w:type="dxa"/>
            </w:tcMar>
            <w:shd w:fill="FFFFFF"/>
          </w:tcPr>
          <w:p>
            <w:pPr>
              <w:spacing w:after="0"/>
            </w:pPr>
            <w:r/>
            <w:r>
              <w:rPr>
                <w:rFonts w:ascii="Aptos" w:hAnsi="Aptos"/>
                <w:b w:val="0"/>
                <w:color w:val="24313C"/>
                <w:sz w:val="16"/>
              </w:rPr>
              <w:t>5</w:t>
            </w:r>
          </w:p>
        </w:tc>
        <w:tc>
          <w:tcPr>
            <w:tcW w:type="dxa" w:w="3293"/>
            <w:vAlign w:val="center"/>
            <w:tcMar>
              <w:top w:w="110" w:type="dxa"/>
              <w:start w:w="110" w:type="dxa"/>
              <w:bottom w:w="110" w:type="dxa"/>
              <w:end w:w="110" w:type="dxa"/>
            </w:tcMar>
            <w:shd w:fill="FFFFFF"/>
          </w:tcPr>
          <w:p>
            <w:pPr>
              <w:spacing w:after="0"/>
            </w:pPr>
            <w:r/>
            <w:r>
              <w:rPr>
                <w:rFonts w:ascii="Aptos" w:hAnsi="Aptos"/>
                <w:b w:val="0"/>
                <w:color w:val="24313C"/>
                <w:sz w:val="16"/>
              </w:rPr>
              <w:t>$150,000</w:t>
            </w:r>
          </w:p>
        </w:tc>
        <w:tc>
          <w:tcPr>
            <w:tcW w:type="dxa" w:w="3293"/>
            <w:vAlign w:val="center"/>
            <w:tcMar>
              <w:top w:w="110" w:type="dxa"/>
              <w:start w:w="110" w:type="dxa"/>
              <w:bottom w:w="110" w:type="dxa"/>
              <w:end w:w="110" w:type="dxa"/>
            </w:tcMar>
            <w:shd w:fill="FFFFFF"/>
          </w:tcPr>
          <w:p>
            <w:pPr>
              <w:spacing w:after="0"/>
            </w:pPr>
            <w:r/>
            <w:r>
              <w:rPr>
                <w:rFonts w:ascii="Aptos" w:hAnsi="Aptos"/>
                <w:b w:val="0"/>
                <w:color w:val="24313C"/>
                <w:sz w:val="16"/>
              </w:rPr>
              <w:t>10+ workloads plus approximately $3,000/month Azure usage for approximately 60 days</w:t>
            </w:r>
          </w:p>
        </w:tc>
      </w:tr>
    </w:tbl>
    <w:p/>
    <w:p>
      <w:r>
        <w:t>For workload-based milestones, Microsoft currently says each counted workload must maintain at least $1 in spend during the continuous 60-day qualifying period. Microsoft also states that startups do not necessarily have to move through every milestone sequentially.</w:t>
      </w:r>
    </w:p>
    <w:p>
      <w:r>
        <w:t>This makes real DRE architecture progression directly relevant to startup-benefit progression.</w:t>
      </w:r>
    </w:p>
    <w:p>
      <w:pPr>
        <w:pStyle w:val="Heading2"/>
      </w:pPr>
      <w:r>
        <w:t>13.4 DRE Azure Workload Progression</w:t>
      </w:r>
    </w:p>
    <w:p>
      <w:r>
        <w:t>DRE’s intended enterprise architecture naturally uses multiple Azure services.</w:t>
      </w:r>
    </w:p>
    <w:p>
      <w:pPr>
        <w:pStyle w:val="ListBullet"/>
        <w:spacing w:after="60"/>
        <w:ind w:left="360" w:hanging="230"/>
      </w:pPr>
      <w:r>
        <w:t>Application hosting/runtime</w:t>
      </w:r>
    </w:p>
    <w:p>
      <w:pPr>
        <w:pStyle w:val="ListBullet"/>
        <w:spacing w:after="60"/>
        <w:ind w:left="360" w:hanging="230"/>
      </w:pPr>
      <w:r>
        <w:t>Azure OpenAI</w:t>
      </w:r>
    </w:p>
    <w:p>
      <w:pPr>
        <w:pStyle w:val="ListBullet"/>
        <w:spacing w:after="60"/>
        <w:ind w:left="360" w:hanging="230"/>
      </w:pPr>
      <w:r>
        <w:t>Azure Cosmos DB</w:t>
      </w:r>
    </w:p>
    <w:p>
      <w:pPr>
        <w:pStyle w:val="ListBullet"/>
        <w:spacing w:after="60"/>
        <w:ind w:left="360" w:hanging="230"/>
      </w:pPr>
      <w:r>
        <w:t>Azure Key Vault</w:t>
      </w:r>
    </w:p>
    <w:p>
      <w:pPr>
        <w:pStyle w:val="ListBullet"/>
        <w:spacing w:after="60"/>
        <w:ind w:left="360" w:hanging="230"/>
      </w:pPr>
      <w:r>
        <w:t>Azure Virtual Network/networking</w:t>
      </w:r>
    </w:p>
    <w:p>
      <w:pPr>
        <w:pStyle w:val="ListBullet"/>
        <w:spacing w:after="60"/>
        <w:ind w:left="360" w:hanging="230"/>
      </w:pPr>
      <w:r>
        <w:t>Azure Service Bus</w:t>
      </w:r>
    </w:p>
    <w:p>
      <w:pPr>
        <w:pStyle w:val="ListBullet"/>
        <w:spacing w:after="60"/>
        <w:ind w:left="360" w:hanging="230"/>
      </w:pPr>
      <w:r>
        <w:t>Azure Monitor</w:t>
      </w:r>
    </w:p>
    <w:p>
      <w:pPr>
        <w:pStyle w:val="ListBullet"/>
        <w:spacing w:after="60"/>
        <w:ind w:left="360" w:hanging="230"/>
      </w:pPr>
      <w:r>
        <w:t>Log Analytics</w:t>
      </w:r>
    </w:p>
    <w:p>
      <w:pPr>
        <w:pStyle w:val="ListBullet"/>
        <w:spacing w:after="60"/>
        <w:ind w:left="360" w:hanging="230"/>
      </w:pPr>
      <w:r>
        <w:t>Application Insights</w:t>
      </w:r>
    </w:p>
    <w:p>
      <w:pPr>
        <w:pStyle w:val="ListBullet"/>
        <w:spacing w:after="60"/>
        <w:ind w:left="360" w:hanging="230"/>
      </w:pPr>
      <w:r>
        <w:t>Private connectivity and supporting Azure services</w:t>
      </w:r>
    </w:p>
    <w:p>
      <w:pPr>
        <w:pStyle w:val="ListBullet"/>
        <w:spacing w:after="60"/>
        <w:ind w:left="360" w:hanging="230"/>
      </w:pPr>
      <w:r>
        <w:t>Other production services as the architecture requires</w:t>
      </w:r>
    </w:p>
    <w:p>
      <w:pPr>
        <w:pStyle w:val="Heading2"/>
      </w:pPr>
      <w:r>
        <w:t>13.5 Sustained Usage</w:t>
      </w:r>
    </w:p>
    <w:p>
      <w:r>
        <w:t>Microsoft’s current program specifically evaluates sustained usage rather than temporary service activation.</w:t>
      </w:r>
    </w:p>
    <w:p>
      <w:r>
        <w:t>For higher milestones, Microsoft requires workloads to remain active over approximately 60 continuous days, and the highest standard milestone requires approximately $3,000 per month in sustained Azure usage along with ten or more workloads.</w:t>
      </w:r>
    </w:p>
    <w:p>
      <w:r>
        <w:t>That means a one-time infrastructure deployment is not the same as demonstrating Azure adoption.</w:t>
      </w:r>
    </w:p>
    <w:p>
      <w:r>
        <w:t>DRE’s strongest Microsoft position comes from building a real product whose continuing operation naturally creates continuing Azure usage.</w:t>
      </w:r>
    </w:p>
    <w:p>
      <w:pPr>
        <w:pStyle w:val="Heading2"/>
      </w:pPr>
      <w:r>
        <w:t>13.6 Business Verification</w:t>
      </w:r>
    </w:p>
    <w:p>
      <w:r>
        <w:t>Business verification is an early Microsoft for Startups milestone.</w:t>
      </w:r>
    </w:p>
    <w:p>
      <w:r>
        <w:t>Microsoft describes the $5,000 milestone as requiring confirmation that the startup is a registered legal entity.</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CONSISTENT COMPANY IDENTITY</w:t>
              <w:br/>
            </w:r>
            <w:r>
              <w:t>Engineered Launch owns and develops DRE.</w:t>
            </w:r>
          </w:p>
        </w:tc>
      </w:tr>
    </w:tbl>
    <w:p/>
    <w:p>
      <w:r>
        <w:t>The Microsoft application, Azure resources, product website, commercial documents, intellectual-property records, and eventual Marketplace publisher identity should tell a consistent company/product story.</w:t>
      </w:r>
    </w:p>
    <w:p>
      <w:pPr>
        <w:pStyle w:val="Heading2"/>
      </w:pPr>
      <w:r>
        <w:t>13.7 Product Ownership</w:t>
      </w:r>
    </w:p>
    <w:p>
      <w:r>
        <w:t>Microsoft’s current startup eligibility emphasizes companies building their own software, AI, or technology solutions.</w:t>
      </w:r>
    </w:p>
    <w:p>
      <w:pPr>
        <w:pStyle w:val="Heading2"/>
      </w:pPr>
      <w:r>
        <w:t>13.8 Investor Network</w:t>
      </w:r>
    </w:p>
    <w:p>
      <w:r>
        <w:t>Microsoft also maintains the Microsoft for Startups Investor Network.</w:t>
      </w:r>
    </w:p>
    <w:p>
      <w:pPr>
        <w:pStyle w:val="ListBullet"/>
        <w:spacing w:after="60"/>
        <w:ind w:left="360" w:hanging="230"/>
      </w:pPr>
      <w:r>
        <w:t>Additional Startup credits</w:t>
      </w:r>
    </w:p>
    <w:p>
      <w:pPr>
        <w:pStyle w:val="ListBullet"/>
        <w:spacing w:after="60"/>
        <w:ind w:left="360" w:hanging="230"/>
      </w:pPr>
      <w:r>
        <w:t>Azure Standard Support</w:t>
      </w:r>
    </w:p>
    <w:p>
      <w:pPr>
        <w:pStyle w:val="ListBullet"/>
        <w:spacing w:after="60"/>
        <w:ind w:left="360" w:hanging="230"/>
      </w:pPr>
      <w:r>
        <w:t>Technical guidance</w:t>
      </w:r>
    </w:p>
    <w:p>
      <w:pPr>
        <w:pStyle w:val="ListBullet"/>
        <w:spacing w:after="60"/>
        <w:ind w:left="360" w:hanging="230"/>
      </w:pPr>
      <w:r>
        <w:t>Marketplace readiness assistance</w:t>
      </w:r>
    </w:p>
    <w:p>
      <w:pPr>
        <w:pStyle w:val="ListBullet"/>
        <w:spacing w:after="60"/>
        <w:ind w:left="360" w:hanging="230"/>
      </w:pPr>
      <w:r>
        <w:t>Co-sell opportunities</w:t>
      </w:r>
    </w:p>
    <w:p>
      <w:pPr>
        <w:pStyle w:val="ListBullet"/>
        <w:spacing w:after="60"/>
        <w:ind w:left="360" w:hanging="230"/>
      </w:pPr>
      <w:r>
        <w:t>Additional product benefits</w:t>
      </w:r>
    </w:p>
    <w:p>
      <w:pPr>
        <w:pStyle w:val="Heading2"/>
      </w:pPr>
      <w:r>
        <w:t>13.9 Investor Referral Code</w:t>
      </w:r>
    </w:p>
    <w:p>
      <w:r>
        <w:t>Microsoft currently describes the Investor Network referral code as a 10-character code supplied by an eligible investor, accelerator, VC, incubator, or other participating organization.</w:t>
      </w:r>
    </w:p>
    <w:p>
      <w:pPr>
        <w:pStyle w:val="Heading2"/>
      </w:pPr>
      <w:r>
        <w:t>13.10 Azure Consumption Strategy</w:t>
      </w:r>
    </w:p>
    <w:p>
      <w:r>
        <w:t>DRE is intentionally capable of becoming a meaningful Azure workload.</w:t>
      </w:r>
    </w:p>
    <w:p>
      <w:pPr>
        <w:pStyle w:val="ListBullet"/>
        <w:spacing w:after="60"/>
        <w:ind w:left="360" w:hanging="230"/>
      </w:pPr>
      <w:r>
        <w:t>Compute</w:t>
      </w:r>
    </w:p>
    <w:p>
      <w:pPr>
        <w:pStyle w:val="ListBullet"/>
        <w:spacing w:after="60"/>
        <w:ind w:left="360" w:hanging="230"/>
      </w:pPr>
      <w:r>
        <w:t>AI inference</w:t>
      </w:r>
    </w:p>
    <w:p>
      <w:pPr>
        <w:pStyle w:val="ListBullet"/>
        <w:spacing w:after="60"/>
        <w:ind w:left="360" w:hanging="230"/>
      </w:pPr>
      <w:r>
        <w:t>Persistent data</w:t>
      </w:r>
    </w:p>
    <w:p>
      <w:pPr>
        <w:pStyle w:val="ListBullet"/>
        <w:spacing w:after="60"/>
        <w:ind w:left="360" w:hanging="230"/>
      </w:pPr>
      <w:r>
        <w:t>Messaging</w:t>
      </w:r>
    </w:p>
    <w:p>
      <w:pPr>
        <w:pStyle w:val="ListBullet"/>
        <w:spacing w:after="60"/>
        <w:ind w:left="360" w:hanging="230"/>
      </w:pPr>
      <w:r>
        <w:t>Security services</w:t>
      </w:r>
    </w:p>
    <w:p>
      <w:pPr>
        <w:pStyle w:val="ListBullet"/>
        <w:spacing w:after="60"/>
        <w:ind w:left="360" w:hanging="230"/>
      </w:pPr>
      <w:r>
        <w:t>Networking</w:t>
      </w:r>
    </w:p>
    <w:p>
      <w:pPr>
        <w:pStyle w:val="ListBullet"/>
        <w:spacing w:after="60"/>
        <w:ind w:left="360" w:hanging="230"/>
      </w:pPr>
      <w:r>
        <w:t>Monitoring</w:t>
      </w:r>
    </w:p>
    <w:p>
      <w:pPr>
        <w:pStyle w:val="ListBullet"/>
        <w:spacing w:after="60"/>
        <w:ind w:left="360" w:hanging="230"/>
      </w:pPr>
      <w:r>
        <w:t>Logging</w:t>
      </w:r>
    </w:p>
    <w:p>
      <w:pPr>
        <w:pStyle w:val="ListBullet"/>
        <w:spacing w:after="60"/>
        <w:ind w:left="360" w:hanging="230"/>
      </w:pPr>
      <w:r>
        <w:t>Identity</w:t>
      </w:r>
    </w:p>
    <w:p>
      <w:pPr>
        <w:pStyle w:val="ListBullet"/>
        <w:spacing w:after="60"/>
        <w:ind w:left="360" w:hanging="230"/>
      </w:pPr>
      <w:r>
        <w:t>Validation environments</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AZURE OBJECTIVE</w:t>
              <w:br/>
            </w:r>
            <w:r>
              <w:t>Use the Azure architecture required to create a reliable, secure, scalable DRE product.</w:t>
            </w:r>
          </w:p>
        </w:tc>
      </w:tr>
    </w:tbl>
    <w:p/>
    <w:p>
      <w:r>
        <w:t>As DRE acquires customers and processing volume increases, Azure consumption can increase with actual product usage.</w:t>
      </w:r>
    </w:p>
    <w:p>
      <w:pPr>
        <w:pStyle w:val="Heading2"/>
      </w:pPr>
      <w:r>
        <w:t>13.11 Alignment With Microsoft Economics</w:t>
      </w:r>
    </w:p>
    <w:p>
      <w:r>
        <w:t>The customer-owned Azure deployment model creates a useful alignment.</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PARTY</w:t>
            </w:r>
          </w:p>
        </w:tc>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ALIGNMENT</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6"/>
              </w:rPr>
              <w:t>Customer</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6"/>
              </w:rPr>
              <w:t>Receives a product operating within its Microsoft ecosystem.</w:t>
            </w:r>
          </w:p>
        </w:tc>
      </w:tr>
      <w:tr>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6"/>
              </w:rPr>
              <w:t>Engineered Launch</w:t>
            </w:r>
          </w:p>
        </w:tc>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6"/>
              </w:rPr>
              <w:t>Receives a deployment model compatible with enterprise environments.</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6"/>
              </w:rPr>
              <w:t>Microsoft</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6"/>
              </w:rPr>
              <w:t>Receives Azure workload consumption associated with the customer’s use of DRE.</w:t>
            </w:r>
          </w:p>
        </w:tc>
      </w:tr>
    </w:tbl>
    <w:p/>
    <w:p>
      <w:pPr>
        <w:pStyle w:val="Heading2"/>
      </w:pPr>
      <w:r>
        <w:t>13.12 Marketplace Strategy</w:t>
      </w:r>
    </w:p>
    <w:p>
      <w:r>
        <w:t>Microsoft Marketplace is the logical future distribution and procurement channel for DRE.</w:t>
      </w:r>
    </w:p>
    <w:p>
      <w:pPr>
        <w:pStyle w:val="ListBullet"/>
        <w:spacing w:after="60"/>
        <w:ind w:left="360" w:hanging="230"/>
      </w:pPr>
      <w:r>
        <w:t>Procurement</w:t>
      </w:r>
    </w:p>
    <w:p>
      <w:pPr>
        <w:pStyle w:val="ListBullet"/>
        <w:spacing w:after="60"/>
        <w:ind w:left="360" w:hanging="230"/>
      </w:pPr>
      <w:r>
        <w:t>Billing</w:t>
      </w:r>
    </w:p>
    <w:p>
      <w:pPr>
        <w:pStyle w:val="ListBullet"/>
        <w:spacing w:after="60"/>
        <w:ind w:left="360" w:hanging="230"/>
      </w:pPr>
      <w:r>
        <w:t>Vendor approval</w:t>
      </w:r>
    </w:p>
    <w:p>
      <w:pPr>
        <w:pStyle w:val="ListBullet"/>
        <w:spacing w:after="60"/>
        <w:ind w:left="360" w:hanging="230"/>
      </w:pPr>
      <w:r>
        <w:t>Microsoft-account purchasing</w:t>
      </w:r>
    </w:p>
    <w:p>
      <w:pPr>
        <w:pStyle w:val="ListBullet"/>
        <w:spacing w:after="60"/>
        <w:ind w:left="360" w:hanging="230"/>
      </w:pPr>
      <w:r>
        <w:t>Azure-related purchasing relationships</w:t>
      </w:r>
    </w:p>
    <w:p>
      <w:pPr>
        <w:pStyle w:val="ListBullet"/>
        <w:spacing w:after="60"/>
        <w:ind w:left="360" w:hanging="230"/>
      </w:pPr>
      <w:r>
        <w:t>Partner discovery</w:t>
      </w:r>
    </w:p>
    <w:p>
      <w:pPr>
        <w:pStyle w:val="ListBullet"/>
        <w:spacing w:after="60"/>
        <w:ind w:left="360" w:hanging="230"/>
      </w:pPr>
      <w:r>
        <w:t>Microsoft sales collaboration</w:t>
      </w:r>
    </w:p>
    <w:p>
      <w:pPr>
        <w:pStyle w:val="Heading2"/>
      </w:pPr>
      <w:r>
        <w:t>13.13 Marketplace Readiness</w:t>
      </w:r>
    </w:p>
    <w:p>
      <w:r>
        <w:t>DRE should not be placed into Marketplace merely to create a listing.</w:t>
      </w:r>
    </w:p>
    <w:p>
      <w:pPr>
        <w:pStyle w:val="ListBullet"/>
        <w:spacing w:after="60"/>
        <w:ind w:left="360" w:hanging="230"/>
      </w:pPr>
      <w:r>
        <w:t>Product identity</w:t>
      </w:r>
    </w:p>
    <w:p>
      <w:pPr>
        <w:pStyle w:val="ListBullet"/>
        <w:spacing w:after="60"/>
        <w:ind w:left="360" w:hanging="230"/>
      </w:pPr>
      <w:r>
        <w:t>Publisher identity</w:t>
      </w:r>
    </w:p>
    <w:p>
      <w:pPr>
        <w:pStyle w:val="ListBullet"/>
        <w:spacing w:after="60"/>
        <w:ind w:left="360" w:hanging="230"/>
      </w:pPr>
      <w:r>
        <w:t>Product description</w:t>
      </w:r>
    </w:p>
    <w:p>
      <w:pPr>
        <w:pStyle w:val="ListBullet"/>
        <w:spacing w:after="60"/>
        <w:ind w:left="360" w:hanging="230"/>
      </w:pPr>
      <w:r>
        <w:t>Commercial terms</w:t>
      </w:r>
    </w:p>
    <w:p>
      <w:pPr>
        <w:pStyle w:val="ListBullet"/>
        <w:spacing w:after="60"/>
        <w:ind w:left="360" w:hanging="230"/>
      </w:pPr>
      <w:r>
        <w:t>Pricing</w:t>
      </w:r>
    </w:p>
    <w:p>
      <w:pPr>
        <w:pStyle w:val="ListBullet"/>
        <w:spacing w:after="60"/>
        <w:ind w:left="360" w:hanging="230"/>
      </w:pPr>
      <w:r>
        <w:t>Support</w:t>
      </w:r>
    </w:p>
    <w:p>
      <w:pPr>
        <w:pStyle w:val="ListBullet"/>
        <w:spacing w:after="60"/>
        <w:ind w:left="360" w:hanging="230"/>
      </w:pPr>
      <w:r>
        <w:t>Deployment model</w:t>
      </w:r>
    </w:p>
    <w:p>
      <w:pPr>
        <w:pStyle w:val="ListBullet"/>
        <w:spacing w:after="60"/>
        <w:ind w:left="360" w:hanging="230"/>
      </w:pPr>
      <w:r>
        <w:t>Technical architecture</w:t>
      </w:r>
    </w:p>
    <w:p>
      <w:pPr>
        <w:pStyle w:val="ListBullet"/>
        <w:spacing w:after="60"/>
        <w:ind w:left="360" w:hanging="230"/>
      </w:pPr>
      <w:r>
        <w:t>Security documentation</w:t>
      </w:r>
    </w:p>
    <w:p>
      <w:pPr>
        <w:pStyle w:val="ListBullet"/>
        <w:spacing w:after="60"/>
        <w:ind w:left="360" w:hanging="230"/>
      </w:pPr>
      <w:r>
        <w:t>Privacy/legal documentation</w:t>
      </w:r>
    </w:p>
    <w:p>
      <w:pPr>
        <w:pStyle w:val="ListBullet"/>
        <w:spacing w:after="60"/>
        <w:ind w:left="360" w:hanging="230"/>
      </w:pPr>
      <w:r>
        <w:t>Customer onboarding</w:t>
      </w:r>
    </w:p>
    <w:p>
      <w:pPr>
        <w:pStyle w:val="ListBullet"/>
        <w:spacing w:after="60"/>
        <w:ind w:left="360" w:hanging="230"/>
      </w:pPr>
      <w:r>
        <w:t>Marketplace offer architecture</w:t>
      </w:r>
    </w:p>
    <w:p>
      <w:pPr>
        <w:pStyle w:val="Heading2"/>
      </w:pPr>
      <w:r>
        <w:t>13.14 Transactable Marketplace Offer</w:t>
      </w:r>
    </w:p>
    <w:p>
      <w:r>
        <w:t>A long-term objective is a transactable Microsoft Marketplace offer, meaning customers can actually purchase the DRE offering through Marketplace rather than merely viewing a listing.</w:t>
      </w:r>
    </w:p>
    <w:p>
      <w:pPr>
        <w:pStyle w:val="Heading2"/>
      </w:pPr>
      <w:r>
        <w:t>13.15 Co-Sell Ready</w:t>
      </w:r>
    </w:p>
    <w:p>
      <w:r>
        <w:t>Microsoft distinguishes ordinary Marketplace presence from co-sell-ready status.</w:t>
      </w:r>
    </w:p>
    <w:p>
      <w:pPr>
        <w:pStyle w:val="ListBullet"/>
        <w:spacing w:after="60"/>
        <w:ind w:left="360" w:hanging="230"/>
      </w:pPr>
      <w:r>
        <w:t>Active PartnerID and Marketplace account</w:t>
      </w:r>
    </w:p>
    <w:p>
      <w:pPr>
        <w:pStyle w:val="ListBullet"/>
        <w:spacing w:after="60"/>
        <w:ind w:left="360" w:hanging="230"/>
      </w:pPr>
      <w:r>
        <w:t>Complete Partner Center business profile</w:t>
      </w:r>
    </w:p>
    <w:p>
      <w:pPr>
        <w:pStyle w:val="ListBullet"/>
        <w:spacing w:after="60"/>
        <w:ind w:left="360" w:hanging="230"/>
      </w:pPr>
      <w:r>
        <w:t>Live Marketplace offer</w:t>
      </w:r>
    </w:p>
    <w:p>
      <w:pPr>
        <w:pStyle w:val="ListBullet"/>
        <w:spacing w:after="60"/>
        <w:ind w:left="360" w:hanging="230"/>
      </w:pPr>
      <w:r>
        <w:t>Sales contact for relevant geographies</w:t>
      </w:r>
    </w:p>
    <w:p>
      <w:pPr>
        <w:pStyle w:val="ListBullet"/>
        <w:spacing w:after="60"/>
        <w:ind w:left="360" w:hanging="230"/>
      </w:pPr>
      <w:r>
        <w:t>Required co-sell listing information</w:t>
      </w:r>
    </w:p>
    <w:p>
      <w:pPr>
        <w:pStyle w:val="ListBullet"/>
        <w:spacing w:after="60"/>
        <w:ind w:left="360" w:hanging="230"/>
      </w:pPr>
      <w:r>
        <w:t>Solution one-pager</w:t>
      </w:r>
    </w:p>
    <w:p>
      <w:pPr>
        <w:pStyle w:val="ListBullet"/>
        <w:spacing w:after="60"/>
        <w:ind w:left="360" w:hanging="230"/>
      </w:pPr>
      <w:r>
        <w:t>Solution pitch deck</w:t>
      </w:r>
    </w:p>
    <w:p>
      <w:pPr>
        <w:pStyle w:val="Heading2"/>
      </w:pPr>
      <w:r>
        <w:t>13.16 Microsoft Seller Materials</w:t>
      </w:r>
    </w:p>
    <w:p>
      <w:r>
        <w:t>DRE’s future Microsoft-facing collateral should make the product easy for a Microsoft seller to understand.</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QUESTION</w:t>
            </w:r>
          </w:p>
        </w:tc>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ANSWER</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6"/>
              </w:rPr>
              <w:t>Who buys DRE?</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6"/>
              </w:rPr>
              <w:t>Corporate legal departments and legal operations.</w:t>
            </w:r>
          </w:p>
        </w:tc>
      </w:tr>
      <w:tr>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6"/>
              </w:rPr>
              <w:t>What problem does it solve?</w:t>
            </w:r>
          </w:p>
        </w:tc>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6"/>
              </w:rPr>
              <w:t>Outside-counsel billing and OCG review burden.</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6"/>
              </w:rPr>
              <w:t>Why Azure?</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6"/>
              </w:rPr>
              <w:t>Customer-owned Azure deployment using Azure application, AI, data, security, and operational services.</w:t>
            </w:r>
          </w:p>
        </w:tc>
      </w:tr>
      <w:tr>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6"/>
              </w:rPr>
              <w:t>Why would the customer care?</w:t>
            </w:r>
          </w:p>
        </w:tc>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6"/>
              </w:rPr>
              <w:t>Focused review, reduced unnecessary human review, explainable decisions, existing-stack coexistence, and customer-controlled deployment.</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6"/>
              </w:rPr>
              <w:t>Why would Microsoft care?</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6"/>
              </w:rPr>
              <w:t>The product creates legitimate Azure adoption and can strengthen the customer’s use of the Microsoft ecosystem.</w:t>
            </w:r>
          </w:p>
        </w:tc>
      </w:tr>
    </w:tbl>
    <w:p/>
    <w:p>
      <w:pPr>
        <w:pStyle w:val="Heading2"/>
      </w:pPr>
      <w:r>
        <w:t>13.17 Co-Sell Pathway</w:t>
      </w:r>
    </w:p>
    <w:p>
      <w:r>
        <w:t>The long-term progression is approximately:</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CO-SELL PATHWAY</w:t>
              <w:br/>
            </w:r>
            <w:r>
              <w:t>Build DRE on Azure → Establish real customer evidence → Create Marketplace-ready commercial product → Publish live Marketplace offer → Complete Microsoft seller collateral → Achieve co-sell-ready status → Build qualifying Azure/customer commercial evidence → Pursue deeper Azure IP co-sell eligibility.</w:t>
            </w:r>
          </w:p>
        </w:tc>
      </w:tr>
    </w:tbl>
    <w:p/>
    <w:p>
      <w:r>
        <w:t>This is a progression rather than an immediate designation.</w:t>
      </w:r>
    </w:p>
    <w:p>
      <w:pPr>
        <w:pStyle w:val="Heading2"/>
      </w:pPr>
      <w:r>
        <w:t>13.18 Azure IP Co-Sell</w:t>
      </w:r>
    </w:p>
    <w:p>
      <w:r>
        <w:t>Standard Azure IP co-sell eligibility has materially higher requirements than simply publishing a Marketplace offer.</w:t>
      </w:r>
    </w:p>
    <w:p>
      <w:r>
        <w:t>Microsoft currently requires co-sell-ready status plus additional conditions that include Azure technical validation, transactability, and a significant revenue/consumption threshold. Under the standard route, the organization generally needs at least $100,000 of Azure Consumed Revenue or Marketplace Billed Sales over the trailing 12 months.</w:t>
      </w:r>
    </w:p>
    <w:p>
      <w:r>
        <w:t>That is a later-stage commercial milestone for DRE, not a current status.</w:t>
      </w:r>
    </w:p>
    <w:p>
      <w:pPr>
        <w:pStyle w:val="Heading2"/>
      </w:pPr>
      <w:r>
        <w:t>13.19 Startup Co-Sell Acceleration</w:t>
      </w:r>
    </w:p>
    <w:p>
      <w:r>
        <w:t>Microsoft currently provides an additional Azure IP Co-sell Acceleration path for qualifying Microsoft for Startups companies.</w:t>
      </w:r>
    </w:p>
    <w:p>
      <w:pPr>
        <w:pStyle w:val="ListBullet"/>
        <w:spacing w:after="60"/>
        <w:ind w:left="360" w:hanging="230"/>
      </w:pPr>
      <w:r>
        <w:t>Active Microsoft for Startups membership</w:t>
      </w:r>
    </w:p>
    <w:p>
      <w:pPr>
        <w:pStyle w:val="ListBullet"/>
        <w:spacing w:after="60"/>
        <w:ind w:left="360" w:hanging="230"/>
      </w:pPr>
      <w:r>
        <w:t>At least $8,000/month Azure consumption for three consecutive months</w:t>
      </w:r>
    </w:p>
    <w:p>
      <w:pPr>
        <w:pStyle w:val="ListBullet"/>
        <w:spacing w:after="60"/>
        <w:ind w:left="360" w:hanging="230"/>
      </w:pPr>
      <w:r>
        <w:t>Live transactable SaaS offer in Microsoft Marketplace that has passed Microsoft’s SaaS technical validation</w:t>
      </w:r>
    </w:p>
    <w:p>
      <w:pPr>
        <w:pStyle w:val="Heading2"/>
      </w:pPr>
      <w:r>
        <w:t>13.20 Microsoft Technical Validation</w:t>
      </w:r>
    </w:p>
    <w:p>
      <w:r>
        <w:t>Deeper Azure co-sell status requires Microsoft technical validation.</w:t>
      </w:r>
    </w:p>
    <w:p>
      <w:pPr>
        <w:pStyle w:val="ListBullet"/>
        <w:spacing w:after="60"/>
        <w:ind w:left="360" w:hanging="230"/>
      </w:pPr>
      <w:r>
        <w:t>Azure architecture</w:t>
      </w:r>
    </w:p>
    <w:p>
      <w:pPr>
        <w:pStyle w:val="ListBullet"/>
        <w:spacing w:after="60"/>
        <w:ind w:left="360" w:hanging="230"/>
      </w:pPr>
      <w:r>
        <w:t>Infrastructure as Code</w:t>
      </w:r>
    </w:p>
    <w:p>
      <w:pPr>
        <w:pStyle w:val="ListBullet"/>
        <w:spacing w:after="60"/>
        <w:ind w:left="360" w:hanging="230"/>
      </w:pPr>
      <w:r>
        <w:t>Network design</w:t>
      </w:r>
    </w:p>
    <w:p>
      <w:pPr>
        <w:pStyle w:val="ListBullet"/>
        <w:spacing w:after="60"/>
        <w:ind w:left="360" w:hanging="230"/>
      </w:pPr>
      <w:r>
        <w:t>Azure OpenAI</w:t>
      </w:r>
    </w:p>
    <w:p>
      <w:pPr>
        <w:pStyle w:val="ListBullet"/>
        <w:spacing w:after="60"/>
        <w:ind w:left="360" w:hanging="230"/>
      </w:pPr>
      <w:r>
        <w:t>Cosmos DB</w:t>
      </w:r>
    </w:p>
    <w:p>
      <w:pPr>
        <w:pStyle w:val="ListBullet"/>
        <w:spacing w:after="60"/>
        <w:ind w:left="360" w:hanging="230"/>
      </w:pPr>
      <w:r>
        <w:t>Key Vault</w:t>
      </w:r>
    </w:p>
    <w:p>
      <w:pPr>
        <w:pStyle w:val="ListBullet"/>
        <w:spacing w:after="60"/>
        <w:ind w:left="360" w:hanging="230"/>
      </w:pPr>
      <w:r>
        <w:t>Identity direction</w:t>
      </w:r>
    </w:p>
    <w:p>
      <w:pPr>
        <w:pStyle w:val="ListBullet"/>
        <w:spacing w:after="60"/>
        <w:ind w:left="360" w:hanging="230"/>
      </w:pPr>
      <w:r>
        <w:t>Validation methodology</w:t>
      </w:r>
    </w:p>
    <w:p>
      <w:pPr>
        <w:pStyle w:val="ListBullet"/>
        <w:spacing w:after="60"/>
        <w:ind w:left="360" w:hanging="230"/>
      </w:pPr>
      <w:r>
        <w:t>Reference architecture</w:t>
      </w:r>
    </w:p>
    <w:p>
      <w:pPr>
        <w:pStyle w:val="ListBullet"/>
        <w:spacing w:after="60"/>
        <w:ind w:left="360" w:hanging="230"/>
      </w:pPr>
      <w:r>
        <w:t>Security documentation</w:t>
      </w:r>
    </w:p>
    <w:p>
      <w:pPr>
        <w:pStyle w:val="Heading2"/>
      </w:pPr>
      <w:r>
        <w:t>13.21 Reference Architecture</w:t>
      </w:r>
    </w:p>
    <w:p>
      <w:r>
        <w:t>Microsoft’s co-sell process can require a reference architecture diagram depending on offer type/status.</w:t>
      </w:r>
    </w:p>
    <w:p>
      <w:r>
        <w:t>DRE is already developing the architectural material needed to create one accurately.</w:t>
      </w:r>
    </w:p>
    <w:p>
      <w:r>
        <w:t>The eventual Microsoft reference architecture should represent the implemented production system rather than an aspirational diagram presented as current deployment.</w:t>
      </w:r>
    </w:p>
    <w:p>
      <w:pPr>
        <w:pStyle w:val="Heading2"/>
      </w:pPr>
      <w:r>
        <w:t>13.22 MACC</w:t>
      </w:r>
    </w:p>
    <w:p>
      <w:r>
        <w:t>A later-stage benefit of Azure IP co-sell eligibility is potential participation in the Microsoft Azure Consumption Commitment (MACC) ecosystem.</w:t>
      </w:r>
    </w:p>
    <w:p>
      <w:r>
        <w:t>MACC allows eligible customers to apply purchases of qualifying third-party Marketplace solutions toward contractual Azure-spending commitments.</w:t>
      </w:r>
    </w:p>
    <w:p>
      <w:r>
        <w:t>For an enterprise product such as DRE, that could eventually reduce purchasing friction for customers already committed to significant Microsoft Azure spend.</w:t>
      </w:r>
    </w:p>
    <w:p>
      <w:r>
        <w:t>It is not a current DRE capability.</w:t>
      </w:r>
    </w:p>
    <w:p>
      <w:pPr>
        <w:pStyle w:val="Heading2"/>
      </w:pPr>
      <w:r>
        <w:t>13.23 Microsoft Seller Alignment</w:t>
      </w:r>
    </w:p>
    <w:p>
      <w:r>
        <w:t>The longer-term commercial objective is not merely to appear in a Microsoft catalog.</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LONGER-TERM POSITION</w:t>
              <w:br/>
            </w:r>
            <w:r>
              <w:t>This product solves a recognizable enterprise problem, runs on Azure, creates Azure consumption, is technically credible, has customer evidence, and can be purchased through Microsoft’s commercial ecosystem.</w:t>
            </w:r>
          </w:p>
        </w:tc>
      </w:tr>
    </w:tbl>
    <w:p/>
    <w:p>
      <w:pPr>
        <w:pStyle w:val="Heading2"/>
      </w:pPr>
      <w:r>
        <w:t>13.24 Customer-Owned Azure as Microsoft Alignment</w:t>
      </w:r>
    </w:p>
    <w:p>
      <w:r>
        <w:t>DRE’s customer-owned Azure architecture creates especially strong conceptual alignment with this strategy.</w:t>
      </w:r>
    </w:p>
    <w:p>
      <w:pPr>
        <w:pStyle w:val="Heading2"/>
      </w:pPr>
      <w:r>
        <w:t>13.25 Product Development and Microsoft Progression</w:t>
      </w:r>
    </w:p>
    <w:p>
      <w:r>
        <w:t>DRE’s Microsoft progression should follow genuine product maturity:</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MICROSOFT PROGRESSION</w:t>
              <w:br/>
            </w:r>
            <w:r>
              <w:t>Working demo → Azure-connected working product → Multiple real Azure workloads → Business verification → Sustained Azure usage → Customer validation → Commercial customer → Repeatable Azure deployment → Marketplace-ready product → Marketplace transaction capability → Co-sell readiness → Deeper Microsoft seller alignment.</w:t>
            </w:r>
          </w:p>
        </w:tc>
      </w:tr>
    </w:tbl>
    <w:p/>
    <w:p>
      <w:pPr>
        <w:pStyle w:val="Heading2"/>
      </w:pPr>
      <w:r>
        <w:t>13.26 Investor Strategy Connection</w:t>
      </w:r>
    </w:p>
    <w:p>
      <w:r>
        <w:t>The investor strategy in Section 14 and Microsoft strategy are complementary.</w:t>
      </w:r>
    </w:p>
    <w:p>
      <w:pPr>
        <w:pStyle w:val="ListBullet"/>
        <w:spacing w:after="60"/>
        <w:ind w:left="360" w:hanging="230"/>
      </w:pPr>
      <w:r>
        <w:t>Capital</w:t>
      </w:r>
    </w:p>
    <w:p>
      <w:pPr>
        <w:pStyle w:val="ListBullet"/>
        <w:spacing w:after="60"/>
        <w:ind w:left="360" w:hanging="230"/>
      </w:pPr>
      <w:r>
        <w:t>Legal-market access</w:t>
      </w:r>
    </w:p>
    <w:p>
      <w:pPr>
        <w:pStyle w:val="ListBullet"/>
        <w:spacing w:after="60"/>
        <w:ind w:left="360" w:hanging="230"/>
      </w:pPr>
      <w:r>
        <w:t>Customer introductions</w:t>
      </w:r>
    </w:p>
    <w:p>
      <w:pPr>
        <w:pStyle w:val="ListBullet"/>
        <w:spacing w:after="60"/>
        <w:ind w:left="360" w:hanging="230"/>
      </w:pPr>
      <w:r>
        <w:t>Commercial guidance</w:t>
      </w:r>
    </w:p>
    <w:p>
      <w:pPr>
        <w:pStyle w:val="ListBullet"/>
        <w:spacing w:after="60"/>
        <w:ind w:left="360" w:hanging="230"/>
      </w:pPr>
      <w:r>
        <w:t>Enterprise credibility</w:t>
      </w:r>
    </w:p>
    <w:p>
      <w:pPr>
        <w:pStyle w:val="Heading2"/>
      </w:pPr>
      <w:r>
        <w:t>13.27 Immediate Microsoft Priorities</w:t>
      </w:r>
    </w:p>
    <w:p>
      <w:r>
        <w:t>The immediate Microsoft/Azure priorities are much earlier than Marketplace co-sell.</w:t>
      </w:r>
    </w:p>
    <w:p>
      <w:pPr>
        <w:pStyle w:val="ListBullet"/>
        <w:spacing w:after="60"/>
        <w:ind w:left="360" w:hanging="230"/>
      </w:pPr>
      <w:r>
        <w:t>1. Maintain clear Engineered Launch/DRE ownership and identity.</w:t>
      </w:r>
    </w:p>
    <w:p>
      <w:pPr>
        <w:pStyle w:val="ListBullet"/>
        <w:spacing w:after="60"/>
        <w:ind w:left="360" w:hanging="230"/>
      </w:pPr>
      <w:r>
        <w:t>2. Complete the working DRE demonstration.</w:t>
      </w:r>
    </w:p>
    <w:p>
      <w:pPr>
        <w:pStyle w:val="ListBullet"/>
        <w:spacing w:after="60"/>
        <w:ind w:left="360" w:hanging="230"/>
      </w:pPr>
      <w:r>
        <w:t>3. Continue building the real Azure architecture.</w:t>
      </w:r>
    </w:p>
    <w:p>
      <w:pPr>
        <w:pStyle w:val="ListBullet"/>
        <w:spacing w:after="60"/>
        <w:ind w:left="360" w:hanging="230"/>
      </w:pPr>
      <w:r>
        <w:t>4. Establish legitimate Azure workloads.</w:t>
      </w:r>
    </w:p>
    <w:p>
      <w:pPr>
        <w:pStyle w:val="ListBullet"/>
        <w:spacing w:after="60"/>
        <w:ind w:left="360" w:hanging="230"/>
      </w:pPr>
      <w:r>
        <w:t>5. Complete applicable Microsoft for Startups/business-verification progression.</w:t>
      </w:r>
    </w:p>
    <w:p>
      <w:pPr>
        <w:pStyle w:val="ListBullet"/>
        <w:spacing w:after="60"/>
        <w:ind w:left="360" w:hanging="230"/>
      </w:pPr>
      <w:r>
        <w:t>6. Accumulate sustained product usage rather than temporary resource activation.</w:t>
      </w:r>
    </w:p>
    <w:p>
      <w:pPr>
        <w:pStyle w:val="ListBullet"/>
        <w:spacing w:after="60"/>
        <w:ind w:left="360" w:hanging="230"/>
      </w:pPr>
      <w:r>
        <w:t>7. Continue customer validation.</w:t>
      </w:r>
    </w:p>
    <w:p>
      <w:pPr>
        <w:pStyle w:val="ListBullet"/>
        <w:spacing w:after="60"/>
        <w:ind w:left="360" w:hanging="230"/>
      </w:pPr>
      <w:r>
        <w:t>8. Build the documentation and evidence needed for enterprise deployment.</w:t>
      </w:r>
    </w:p>
    <w:p>
      <w:pPr>
        <w:pStyle w:val="ListBullet"/>
        <w:spacing w:after="60"/>
        <w:ind w:left="360" w:hanging="230"/>
      </w:pPr>
      <w:r>
        <w:t>9. Preserve accurate current-versus-target architecture.</w:t>
      </w:r>
    </w:p>
    <w:p>
      <w:pPr>
        <w:pStyle w:val="ListBullet"/>
        <w:spacing w:after="60"/>
        <w:ind w:left="360" w:hanging="230"/>
      </w:pPr>
      <w:r>
        <w:t>10. Prepare for Marketplace only as DRE becomes commercially ready.</w:t>
      </w:r>
    </w:p>
    <w:p>
      <w:pPr>
        <w:pStyle w:val="Heading2"/>
      </w:pPr>
      <w:r>
        <w:t>13.28 Microsoft Strategy Principle</w:t>
      </w:r>
    </w:p>
    <w:p>
      <w:r>
        <w:t>The Microsoft strategy can be summarized as:</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MICROSOFT STRATEGY</w:t>
              <w:br/>
            </w:r>
            <w:r>
              <w:t>Build the real product on Azure. Use the Azure services the product genuinely needs. Deploy DRE where the customer already operates. Let real product usage create real Azure consumption. Use Microsoft for Startups to extend the company’s development runway. Use customer evidence to move toward Marketplace. Use Marketplace to reduce enterprise procurement friction. Build toward a state where Microsoft sellers have a reason to understand and eventually help sell DRE.</w:t>
            </w:r>
          </w:p>
        </w:tc>
      </w:tr>
    </w:tbl>
    <w:p/>
    <w:p>
      <w:r>
        <w:t>The objective is not to game Microsoft’s ecosystem.</w:t>
      </w:r>
    </w:p>
    <w:p>
      <w:r>
        <w:t>It is to design DRE so that the customer, Engineered Launch, and Microsoft all benefit when the product is successfully adopted.</w:t>
      </w:r>
    </w:p>
    <w:p>
      <w:r>
        <w:br w:type="page"/>
      </w:r>
    </w:p>
    <w:p>
      <w:pPr>
        <w:pStyle w:val="Heading1"/>
      </w:pPr>
      <w:r>
        <w:t>14. Investor Strategy</w:t>
      </w:r>
    </w:p>
    <w:p>
      <w:r>
        <w:t>DRE’s investor strategy is built around a materially stronger proposition than presenting an early concept and asking investors to imagine the eventual product.</w:t>
      </w:r>
    </w:p>
    <w:p>
      <w:r>
        <w:t>The objective is to approach investors with a growing body of evidence:</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INVESTOR EVIDENCE PATH</w:t>
              <w:br/>
            </w:r>
            <w:r>
              <w:t>Defined customer problem → differentiated product architecture → working software → working demonstration → Azure deployment direction → customer evaluation → market evidence → commercial model → credible roadmap.</w:t>
            </w:r>
          </w:p>
        </w:tc>
      </w:tr>
    </w:tbl>
    <w:p/>
    <w:p>
      <w:r>
        <w:t>DRE is particularly relevant to investors focused on legal technology, enterprise software, AI infrastructure, compliance technology, corporate legal operations, and workflow automation.</w:t>
      </w:r>
    </w:p>
    <w:p>
      <w:r>
        <w:t>The investor strategy should preserve the same evidence discipline used throughout DRE. Current implementation should be represented as current implementation. Intended architecture should be represented as intended architecture. Demo users should be represented as demo users. Design partners should be represented as design partners. Revenue should be represented as revenue only when revenue exists.</w:t>
      </w:r>
    </w:p>
    <w:p>
      <w:r>
        <w:t>The goal is not to make DRE appear further along than it is.</w:t>
      </w:r>
    </w:p>
    <w:p>
      <w:r>
        <w:t>The goal is to make the amount that already exists unusually easy to see.</w:t>
      </w:r>
    </w:p>
    <w:p>
      <w:pPr>
        <w:pStyle w:val="Heading2"/>
      </w:pPr>
      <w:r>
        <w:t>14.1 Investor Narrative</w:t>
      </w:r>
    </w:p>
    <w:p>
      <w:r>
        <w:t>The central investor narrative begins with the customer problem rather than with AI.</w:t>
      </w:r>
    </w:p>
    <w:p>
      <w:r>
        <w:t>Corporate legal departments spend substantial operational effort receiving, reviewing, challenging, adjusting, approving, and documenting outside-counsel billing.</w:t>
      </w:r>
    </w:p>
    <w:p>
      <w:r>
        <w:t>Some billing questions are deterministic.</w:t>
      </w:r>
    </w:p>
    <w:p>
      <w:r>
        <w:t>Some require semantic interpretation.</w:t>
      </w:r>
    </w:p>
    <w:p>
      <w:r>
        <w:t>Some require authorized human judgment.</w:t>
      </w:r>
    </w:p>
    <w:p>
      <w:r>
        <w:t>DRE separates those problems rather than treating every billing transaction identically.</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ARCHITECTURE</w:t>
              <w:br/>
            </w:r>
            <w:r>
              <w:t>Deterministic controls first → semantic exceptions into controlled consensus → deterministic referee/routing → human authority where required → preserved evidence.</w:t>
            </w:r>
          </w:p>
        </w:tc>
      </w:tr>
    </w:tbl>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CUSTOMER EXPERIENCE</w:t>
              <w:br/>
            </w:r>
            <w:r>
              <w:t>One legal-billing file in. Two files out.</w:t>
            </w:r>
          </w:p>
        </w:tc>
      </w:tr>
    </w:tbl>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INVESTOR STORY</w:t>
              <w:br/>
            </w:r>
            <w:r>
              <w:t>Computationally sophisticated. Operationally simple.</w:t>
            </w:r>
          </w:p>
        </w:tc>
      </w:tr>
    </w:tbl>
    <w:p/>
    <w:p>
      <w:pPr>
        <w:pStyle w:val="Heading2"/>
      </w:pPr>
      <w:r>
        <w:t>14.2 Investment Thesis</w:t>
      </w:r>
    </w:p>
    <w:p>
      <w:r>
        <w:t>The DRE investment thesis rests on several connected propositions:</w:t>
      </w:r>
    </w:p>
    <w:p>
      <w:pPr>
        <w:pStyle w:val="ListBullet"/>
        <w:spacing w:after="60"/>
        <w:ind w:left="360" w:hanging="230"/>
      </w:pPr>
      <w:r>
        <w:t>Outside-counsel billing is an established enterprise workflow.</w:t>
      </w:r>
    </w:p>
    <w:p>
      <w:pPr>
        <w:pStyle w:val="ListBullet"/>
        <w:spacing w:after="60"/>
        <w:ind w:left="360" w:hanging="230"/>
      </w:pPr>
      <w:r>
        <w:t>Corporate legal departments already spend money on legal-billing and legal-operations technology.</w:t>
      </w:r>
    </w:p>
    <w:p>
      <w:pPr>
        <w:pStyle w:val="ListBullet"/>
        <w:spacing w:after="60"/>
        <w:ind w:left="360" w:hanging="230"/>
      </w:pPr>
      <w:r>
        <w:t>Existing platforms can create implementation and operational burden.</w:t>
      </w:r>
    </w:p>
    <w:p>
      <w:pPr>
        <w:pStyle w:val="ListBullet"/>
        <w:spacing w:after="60"/>
        <w:ind w:left="360" w:hanging="230"/>
      </w:pPr>
      <w:r>
        <w:t>Customers may want focused invoice-review capability without replacing their entire legal technology environment.</w:t>
      </w:r>
    </w:p>
    <w:p>
      <w:pPr>
        <w:pStyle w:val="ListBullet"/>
        <w:spacing w:after="60"/>
        <w:ind w:left="360" w:hanging="230"/>
      </w:pPr>
      <w:r>
        <w:t>Deterministic controls can resolve objective billing questions efficiently.</w:t>
      </w:r>
    </w:p>
    <w:p>
      <w:pPr>
        <w:pStyle w:val="ListBullet"/>
        <w:spacing w:after="60"/>
        <w:ind w:left="360" w:hanging="230"/>
      </w:pPr>
      <w:r>
        <w:t>AI can be constrained to semantic exceptions rather than applied indiscriminately.</w:t>
      </w:r>
    </w:p>
    <w:p>
      <w:pPr>
        <w:pStyle w:val="ListBullet"/>
        <w:spacing w:after="60"/>
        <w:ind w:left="360" w:hanging="230"/>
      </w:pPr>
      <w:r>
        <w:t>Human authority can remain part of the architecture.</w:t>
      </w:r>
    </w:p>
    <w:p>
      <w:pPr>
        <w:pStyle w:val="ListBullet"/>
        <w:spacing w:after="60"/>
        <w:ind w:left="360" w:hanging="230"/>
      </w:pPr>
      <w:r>
        <w:t>Customer-owned Azure deployment can reduce the need to create a separate external data destination.</w:t>
      </w:r>
    </w:p>
    <w:p>
      <w:pPr>
        <w:pStyle w:val="ListBullet"/>
        <w:spacing w:after="60"/>
        <w:ind w:left="360" w:hanging="230"/>
      </w:pPr>
      <w:r>
        <w:t>A focused product can coexist with incumbent systems instead of competing feature-for-feature with complete enterprise legal-management platforms.</w:t>
      </w:r>
    </w:p>
    <w:p>
      <w:pPr>
        <w:pStyle w:val="ListBullet"/>
        <w:spacing w:after="60"/>
        <w:ind w:left="360" w:hanging="230"/>
      </w:pPr>
      <w:r>
        <w:t>The same specialized review capability can produce recurring commercial value as billing continues.</w:t>
      </w:r>
    </w:p>
    <w:p>
      <w:pPr>
        <w:pStyle w:val="Heading2"/>
      </w:pPr>
      <w:r>
        <w:t>14.3 Working Product Evidence</w:t>
      </w:r>
    </w:p>
    <w:p>
      <w:r>
        <w:t>DRE’s investor case should lead with what has actually been built.</w:t>
      </w:r>
    </w:p>
    <w:p>
      <w:pPr>
        <w:pStyle w:val="ListBullet"/>
        <w:spacing w:after="60"/>
        <w:ind w:left="360" w:hanging="230"/>
      </w:pPr>
      <w:r>
        <w:t>Deterministic legal-billing processing</w:t>
      </w:r>
    </w:p>
    <w:p>
      <w:pPr>
        <w:pStyle w:val="ListBullet"/>
        <w:spacing w:after="60"/>
        <w:ind w:left="360" w:hanging="230"/>
      </w:pPr>
      <w:r>
        <w:t>OCG-oriented rule evaluation</w:t>
      </w:r>
    </w:p>
    <w:p>
      <w:pPr>
        <w:pStyle w:val="ListBullet"/>
        <w:spacing w:after="60"/>
        <w:ind w:left="360" w:hanging="230"/>
      </w:pPr>
      <w:r>
        <w:t>Transaction orchestration</w:t>
      </w:r>
    </w:p>
    <w:p>
      <w:pPr>
        <w:pStyle w:val="ListBullet"/>
        <w:spacing w:after="60"/>
        <w:ind w:left="360" w:hanging="230"/>
      </w:pPr>
      <w:r>
        <w:t>Consensus components</w:t>
      </w:r>
    </w:p>
    <w:p>
      <w:pPr>
        <w:pStyle w:val="ListBullet"/>
        <w:spacing w:after="60"/>
        <w:ind w:left="360" w:hanging="230"/>
      </w:pPr>
      <w:r>
        <w:t>Differentiated AI agent roles</w:t>
      </w:r>
    </w:p>
    <w:p>
      <w:pPr>
        <w:pStyle w:val="ListBullet"/>
        <w:spacing w:after="60"/>
        <w:ind w:left="360" w:hanging="230"/>
      </w:pPr>
      <w:r>
        <w:t>Deterministic vote aggregation</w:t>
      </w:r>
    </w:p>
    <w:p>
      <w:pPr>
        <w:pStyle w:val="ListBullet"/>
        <w:spacing w:after="60"/>
        <w:ind w:left="360" w:hanging="230"/>
      </w:pPr>
      <w:r>
        <w:t>Financial calculations</w:t>
      </w:r>
    </w:p>
    <w:p>
      <w:pPr>
        <w:pStyle w:val="ListBullet"/>
        <w:spacing w:after="60"/>
        <w:ind w:left="360" w:hanging="230"/>
      </w:pPr>
      <w:r>
        <w:t>Audit-receipt structures</w:t>
      </w:r>
    </w:p>
    <w:p>
      <w:pPr>
        <w:pStyle w:val="ListBullet"/>
        <w:spacing w:after="60"/>
        <w:ind w:left="360" w:hanging="230"/>
      </w:pPr>
      <w:r>
        <w:t>Human escalation</w:t>
      </w:r>
    </w:p>
    <w:p>
      <w:pPr>
        <w:pStyle w:val="ListBullet"/>
        <w:spacing w:after="60"/>
        <w:ind w:left="360" w:hanging="230"/>
      </w:pPr>
      <w:r>
        <w:t>Controlled AI-failure handling</w:t>
      </w:r>
    </w:p>
    <w:p>
      <w:pPr>
        <w:pStyle w:val="ListBullet"/>
        <w:spacing w:after="60"/>
        <w:ind w:left="360" w:hanging="230"/>
      </w:pPr>
      <w:r>
        <w:t>Synthetic legal-billing data</w:t>
      </w:r>
    </w:p>
    <w:p>
      <w:pPr>
        <w:pStyle w:val="ListBullet"/>
        <w:spacing w:after="60"/>
        <w:ind w:left="360" w:hanging="230"/>
      </w:pPr>
      <w:r>
        <w:t>Azure infrastructure definitions</w:t>
      </w:r>
    </w:p>
    <w:p>
      <w:pPr>
        <w:pStyle w:val="ListBullet"/>
        <w:spacing w:after="60"/>
        <w:ind w:left="360" w:hanging="230"/>
      </w:pPr>
      <w:r>
        <w:t>Infrastructure-validation methodology</w:t>
      </w:r>
    </w:p>
    <w:p>
      <w:pPr>
        <w:pStyle w:val="ListBullet"/>
        <w:spacing w:after="60"/>
        <w:ind w:left="360" w:hanging="230"/>
      </w:pPr>
      <w:r>
        <w:t>Product documentation</w:t>
      </w:r>
    </w:p>
    <w:p>
      <w:pPr>
        <w:pStyle w:val="ListBullet"/>
        <w:spacing w:after="60"/>
        <w:ind w:left="360" w:hanging="230"/>
      </w:pPr>
      <w:r>
        <w:t>Responsive technical diagrams</w:t>
      </w:r>
    </w:p>
    <w:p>
      <w:pPr>
        <w:pStyle w:val="ListBullet"/>
        <w:spacing w:after="60"/>
        <w:ind w:left="360" w:hanging="230"/>
      </w:pPr>
      <w:r>
        <w:t>Working-demo development</w:t>
      </w:r>
    </w:p>
    <w:p>
      <w:pPr>
        <w:pStyle w:val="Heading2"/>
      </w:pPr>
      <w:r>
        <w:t>14.4 Demonstration as Investor Evidence</w:t>
      </w:r>
    </w:p>
    <w:p>
      <w:r>
        <w:t>The working demonstration is one of the highest-priority investor assets because it converts architecture into observable behavior.</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OBSERVABLE PRODUCT BEHAVIOR</w:t>
              <w:br/>
            </w:r>
            <w:r>
              <w:t>Sample legal-billing file → DRE processing → deterministic review → consensus where applicable → separated result population → Passed Consensus → Human Review.</w:t>
            </w:r>
          </w:p>
        </w:tc>
      </w:tr>
    </w:tbl>
    <w:p/>
    <w:p>
      <w:r>
        <w:t>The demo does not need to pretend to be a completed production deployment.</w:t>
      </w:r>
    </w:p>
    <w:p>
      <w:pPr>
        <w:pStyle w:val="Heading2"/>
      </w:pPr>
      <w:r>
        <w:t>14.5 Current vs. Intended Architecture</w:t>
      </w:r>
    </w:p>
    <w:p>
      <w:r>
        <w:t>Investor materials must preserve the distinction between current implementation and intended architecture.</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CURRENT</w:t>
            </w:r>
          </w:p>
        </w:tc>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INTENDED</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6"/>
              </w:rPr>
              <w:t>Three differentiated agents operating in one parallel round followed by deterministic vote aggregation.</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6"/>
              </w:rPr>
              <w:t>Three independent agents across three rounds followed by referee synthesis and authorized human authority.</w:t>
            </w:r>
          </w:p>
        </w:tc>
      </w:tr>
      <w:tr>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6"/>
              </w:rPr>
              <w:t>VNet, subnet, Key Vault, Cosmos DB account, Azure OpenAI account with public network access disabled.</w:t>
            </w:r>
          </w:p>
        </w:tc>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6"/>
              </w:rPr>
              <w:t>Private connectivity, identity/RBAC, application runtime, messaging, data containers, model deployment, monitoring, retention, recovery, assurance, and other enterprise controls.</w:t>
            </w:r>
          </w:p>
        </w:tc>
      </w:tr>
    </w:tbl>
    <w:p/>
    <w:p>
      <w:pPr>
        <w:pStyle w:val="Heading2"/>
      </w:pPr>
      <w:r>
        <w:t>14.6 Founder / Company Identity</w:t>
      </w:r>
    </w:p>
    <w:p>
      <w:r>
        <w:t>Investor materials should consistently establish:</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COMPANY</w:t>
            </w:r>
          </w:p>
        </w:tc>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PRODUCT</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6"/>
              </w:rPr>
              <w:t>Engineered Launch</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6"/>
              </w:rPr>
              <w:t>DRE / Dr. E — Deterministic Review Engine</w:t>
            </w:r>
          </w:p>
        </w:tc>
      </w:tr>
    </w:tbl>
    <w:p/>
    <w:p>
      <w:pPr>
        <w:pStyle w:val="Heading2"/>
      </w:pPr>
      <w:r>
        <w:t>14.7 Founder Narrative</w:t>
      </w:r>
    </w:p>
    <w:p>
      <w:r>
        <w:t>The founder narrative should establish why Jamie Lynn Schallert is building this particular type of system.</w:t>
      </w:r>
    </w:p>
    <w:p>
      <w:r>
        <w:t>Relevant professional background includes years leading large operations environments and process work at Amazon, experience with operational systems and process engineering, prior entrepreneurial experience, and a long-standing focus on eliminating unnecessary operational motion.</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FOUNDER / PRODUCT CONNECTION</w:t>
              <w:br/>
            </w:r>
            <w:r>
              <w:t>Identify the work that can be standardized. Route exceptions deliberately. Preserve human judgment where it adds value. Reduce unnecessary motion.</w:t>
            </w:r>
          </w:p>
        </w:tc>
      </w:tr>
    </w:tbl>
    <w:p/>
    <w:p>
      <w:pPr>
        <w:pStyle w:val="Heading2"/>
      </w:pPr>
      <w:r>
        <w:t>14.8 GCVC</w:t>
      </w:r>
    </w:p>
    <w:p>
      <w:r>
        <w:t>GCVC is the primary investor target currently identified for DRE.</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GCVC POSITIONING</w:t>
              <w:br/>
            </w:r>
            <w:r>
              <w:t>We built a deterministic-first outside-counsel billing review product for the organizations represented by your own general-counsel network.</w:t>
            </w:r>
          </w:p>
        </w:tc>
      </w:tr>
    </w:tbl>
    <w:p/>
    <w:p>
      <w:pPr>
        <w:pStyle w:val="Heading2"/>
      </w:pPr>
      <w:r>
        <w:t>14.9 Strategic Value of a General-Counsel Investor Network</w:t>
      </w:r>
    </w:p>
    <w:p>
      <w:r>
        <w:t>For DRE, access to general counsel can be more valuable than capital alone.</w:t>
      </w:r>
    </w:p>
    <w:p>
      <w:pPr>
        <w:pStyle w:val="ListBullet"/>
        <w:spacing w:after="60"/>
        <w:ind w:left="360" w:hanging="230"/>
      </w:pPr>
      <w:r>
        <w:t>Product feedback</w:t>
      </w:r>
    </w:p>
    <w:p>
      <w:pPr>
        <w:pStyle w:val="ListBullet"/>
        <w:spacing w:after="60"/>
        <w:ind w:left="360" w:hanging="230"/>
      </w:pPr>
      <w:r>
        <w:t>Customer introductions</w:t>
      </w:r>
    </w:p>
    <w:p>
      <w:pPr>
        <w:pStyle w:val="ListBullet"/>
        <w:spacing w:after="60"/>
        <w:ind w:left="360" w:hanging="230"/>
      </w:pPr>
      <w:r>
        <w:t>Design-partner introductions</w:t>
      </w:r>
    </w:p>
    <w:p>
      <w:pPr>
        <w:pStyle w:val="ListBullet"/>
        <w:spacing w:after="60"/>
        <w:ind w:left="360" w:hanging="230"/>
      </w:pPr>
      <w:r>
        <w:t>Pricing feedback</w:t>
      </w:r>
    </w:p>
    <w:p>
      <w:pPr>
        <w:pStyle w:val="ListBullet"/>
        <w:spacing w:after="60"/>
        <w:ind w:left="360" w:hanging="230"/>
      </w:pPr>
      <w:r>
        <w:t>Procurement insight</w:t>
      </w:r>
    </w:p>
    <w:p>
      <w:pPr>
        <w:pStyle w:val="ListBullet"/>
        <w:spacing w:after="60"/>
        <w:ind w:left="360" w:hanging="230"/>
      </w:pPr>
      <w:r>
        <w:t>Security expectations</w:t>
      </w:r>
    </w:p>
    <w:p>
      <w:pPr>
        <w:pStyle w:val="ListBullet"/>
        <w:spacing w:after="60"/>
        <w:ind w:left="360" w:hanging="230"/>
      </w:pPr>
      <w:r>
        <w:t>OCG examples</w:t>
      </w:r>
    </w:p>
    <w:p>
      <w:pPr>
        <w:pStyle w:val="ListBullet"/>
        <w:spacing w:after="60"/>
        <w:ind w:left="360" w:hanging="230"/>
      </w:pPr>
      <w:r>
        <w:t>Legal-operations expertise</w:t>
      </w:r>
    </w:p>
    <w:p>
      <w:pPr>
        <w:pStyle w:val="ListBullet"/>
        <w:spacing w:after="60"/>
        <w:ind w:left="360" w:hanging="230"/>
      </w:pPr>
      <w:r>
        <w:t>Enterprise buying insight</w:t>
      </w:r>
    </w:p>
    <w:p>
      <w:pPr>
        <w:pStyle w:val="ListBullet"/>
        <w:spacing w:after="60"/>
        <w:ind w:left="360" w:hanging="230"/>
      </w:pPr>
      <w:r>
        <w:t>Credibility with subsequent customers and investors</w:t>
      </w:r>
    </w:p>
    <w:p>
      <w:pPr>
        <w:pStyle w:val="Heading2"/>
      </w:pPr>
      <w:r>
        <w:t>14.10 Legal-Tech Investors</w:t>
      </w:r>
    </w:p>
    <w:p>
      <w:r>
        <w:t>DRE should also pursue investors specifically interested in legal technology and legal workflow.</w:t>
      </w:r>
    </w:p>
    <w:p>
      <w:pPr>
        <w:pStyle w:val="ListBullet"/>
        <w:spacing w:after="60"/>
        <w:ind w:left="360" w:hanging="230"/>
      </w:pPr>
      <w:r>
        <w:t>GCVC</w:t>
      </w:r>
    </w:p>
    <w:p>
      <w:pPr>
        <w:pStyle w:val="ListBullet"/>
        <w:spacing w:after="60"/>
        <w:ind w:left="360" w:hanging="230"/>
      </w:pPr>
      <w:r>
        <w:t>The LegalTech Fund</w:t>
      </w:r>
    </w:p>
    <w:p>
      <w:pPr>
        <w:pStyle w:val="ListBullet"/>
        <w:spacing w:after="60"/>
        <w:ind w:left="360" w:hanging="230"/>
      </w:pPr>
      <w:r>
        <w:t>Legaltech Hub / accelerator-related opportunities</w:t>
      </w:r>
    </w:p>
    <w:p>
      <w:pPr>
        <w:pStyle w:val="ListBullet"/>
        <w:spacing w:after="60"/>
        <w:ind w:left="360" w:hanging="230"/>
      </w:pPr>
      <w:r>
        <w:t>Relativity-related investment/innovation channels</w:t>
      </w:r>
    </w:p>
    <w:p>
      <w:pPr>
        <w:pStyle w:val="ListBullet"/>
        <w:spacing w:after="60"/>
        <w:ind w:left="360" w:hanging="230"/>
      </w:pPr>
      <w:r>
        <w:t>LexisNexis accelerator/innovation channels</w:t>
      </w:r>
    </w:p>
    <w:p>
      <w:pPr>
        <w:pStyle w:val="ListBullet"/>
        <w:spacing w:after="60"/>
        <w:ind w:left="360" w:hanging="230"/>
      </w:pPr>
      <w:r>
        <w:t>Surge and other enterprise/legal-technology opportunities</w:t>
      </w:r>
    </w:p>
    <w:p>
      <w:pPr>
        <w:pStyle w:val="Heading2"/>
      </w:pPr>
      <w:r>
        <w:t>14.11 Investor Target Prioritization</w:t>
      </w:r>
    </w:p>
    <w:p>
      <w:r>
        <w:t>Investor targets should be prioritized according to strategic fit, not merely availability.</w:t>
      </w:r>
    </w:p>
    <w:p>
      <w:pPr>
        <w:pStyle w:val="ListBullet"/>
        <w:spacing w:after="60"/>
        <w:ind w:left="360" w:hanging="230"/>
      </w:pPr>
      <w:r>
        <w:t>Legal-tech focus</w:t>
      </w:r>
    </w:p>
    <w:p>
      <w:pPr>
        <w:pStyle w:val="ListBullet"/>
        <w:spacing w:after="60"/>
        <w:ind w:left="360" w:hanging="230"/>
      </w:pPr>
      <w:r>
        <w:t>Enterprise software experience</w:t>
      </w:r>
    </w:p>
    <w:p>
      <w:pPr>
        <w:pStyle w:val="ListBullet"/>
        <w:spacing w:after="60"/>
        <w:ind w:left="360" w:hanging="230"/>
      </w:pPr>
      <w:r>
        <w:t>Stage fit</w:t>
      </w:r>
    </w:p>
    <w:p>
      <w:pPr>
        <w:pStyle w:val="ListBullet"/>
        <w:spacing w:after="60"/>
        <w:ind w:left="360" w:hanging="230"/>
      </w:pPr>
      <w:r>
        <w:t>Check-size fit</w:t>
      </w:r>
    </w:p>
    <w:p>
      <w:pPr>
        <w:pStyle w:val="ListBullet"/>
        <w:spacing w:after="60"/>
        <w:ind w:left="360" w:hanging="230"/>
      </w:pPr>
      <w:r>
        <w:t>Corporate legal network</w:t>
      </w:r>
    </w:p>
    <w:p>
      <w:pPr>
        <w:pStyle w:val="ListBullet"/>
        <w:spacing w:after="60"/>
        <w:ind w:left="360" w:hanging="230"/>
      </w:pPr>
      <w:r>
        <w:t>Customer-introduction capability</w:t>
      </w:r>
    </w:p>
    <w:p>
      <w:pPr>
        <w:pStyle w:val="ListBullet"/>
        <w:spacing w:after="60"/>
        <w:ind w:left="360" w:hanging="230"/>
      </w:pPr>
      <w:r>
        <w:t>Microsoft relationship</w:t>
      </w:r>
    </w:p>
    <w:p>
      <w:pPr>
        <w:pStyle w:val="ListBullet"/>
        <w:spacing w:after="60"/>
        <w:ind w:left="360" w:hanging="230"/>
      </w:pPr>
      <w:r>
        <w:t>Azure/enterprise technology experience</w:t>
      </w:r>
    </w:p>
    <w:p>
      <w:pPr>
        <w:pStyle w:val="ListBullet"/>
        <w:spacing w:after="60"/>
        <w:ind w:left="360" w:hanging="230"/>
      </w:pPr>
      <w:r>
        <w:t>Regulatory/compliance interest</w:t>
      </w:r>
    </w:p>
    <w:p>
      <w:pPr>
        <w:pStyle w:val="ListBullet"/>
        <w:spacing w:after="60"/>
        <w:ind w:left="360" w:hanging="230"/>
      </w:pPr>
      <w:r>
        <w:t>Geographic constraints</w:t>
      </w:r>
    </w:p>
    <w:p>
      <w:pPr>
        <w:pStyle w:val="ListBullet"/>
        <w:spacing w:after="60"/>
        <w:ind w:left="360" w:hanging="230"/>
      </w:pPr>
      <w:r>
        <w:t>Application availability</w:t>
      </w:r>
    </w:p>
    <w:p>
      <w:pPr>
        <w:pStyle w:val="ListBullet"/>
        <w:spacing w:after="60"/>
        <w:ind w:left="360" w:hanging="230"/>
      </w:pPr>
      <w:r>
        <w:t>Current fund activity</w:t>
      </w:r>
    </w:p>
    <w:p>
      <w:pPr>
        <w:pStyle w:val="ListBullet"/>
        <w:spacing w:after="60"/>
        <w:ind w:left="360" w:hanging="230"/>
      </w:pPr>
      <w:r>
        <w:t>Portfolio conflicts</w:t>
      </w:r>
    </w:p>
    <w:p>
      <w:pPr>
        <w:pStyle w:val="ListBullet"/>
        <w:spacing w:after="60"/>
        <w:ind w:left="360" w:hanging="230"/>
      </w:pPr>
      <w:r>
        <w:t>Ability to assist with commercialization</w:t>
      </w:r>
    </w:p>
    <w:p>
      <w:pPr>
        <w:pStyle w:val="Heading2"/>
      </w:pPr>
      <w:r>
        <w:t>14.12 Accelerator Opportunities</w:t>
      </w:r>
    </w:p>
    <w:p>
      <w:r>
        <w:t>Accelerators may provide value beyond direct investment.</w:t>
      </w:r>
    </w:p>
    <w:p>
      <w:pPr>
        <w:pStyle w:val="ListBullet"/>
        <w:spacing w:after="60"/>
        <w:ind w:left="360" w:hanging="230"/>
      </w:pPr>
      <w:r>
        <w:t>Capital</w:t>
      </w:r>
    </w:p>
    <w:p>
      <w:pPr>
        <w:pStyle w:val="ListBullet"/>
        <w:spacing w:after="60"/>
        <w:ind w:left="360" w:hanging="230"/>
      </w:pPr>
      <w:r>
        <w:t>Technical support</w:t>
      </w:r>
    </w:p>
    <w:p>
      <w:pPr>
        <w:pStyle w:val="ListBullet"/>
        <w:spacing w:after="60"/>
        <w:ind w:left="360" w:hanging="230"/>
      </w:pPr>
      <w:r>
        <w:t>Cloud benefits</w:t>
      </w:r>
    </w:p>
    <w:p>
      <w:pPr>
        <w:pStyle w:val="ListBullet"/>
        <w:spacing w:after="60"/>
        <w:ind w:left="360" w:hanging="230"/>
      </w:pPr>
      <w:r>
        <w:t>Customer introductions</w:t>
      </w:r>
    </w:p>
    <w:p>
      <w:pPr>
        <w:pStyle w:val="ListBullet"/>
        <w:spacing w:after="60"/>
        <w:ind w:left="360" w:hanging="230"/>
      </w:pPr>
      <w:r>
        <w:t>Investor introductions</w:t>
      </w:r>
    </w:p>
    <w:p>
      <w:pPr>
        <w:pStyle w:val="ListBullet"/>
        <w:spacing w:after="60"/>
        <w:ind w:left="360" w:hanging="230"/>
      </w:pPr>
      <w:r>
        <w:t>Product mentorship</w:t>
      </w:r>
    </w:p>
    <w:p>
      <w:pPr>
        <w:pStyle w:val="ListBullet"/>
        <w:spacing w:after="60"/>
        <w:ind w:left="360" w:hanging="230"/>
      </w:pPr>
      <w:r>
        <w:t>Enterprise-sales guidance</w:t>
      </w:r>
    </w:p>
    <w:p>
      <w:pPr>
        <w:pStyle w:val="ListBullet"/>
        <w:spacing w:after="60"/>
        <w:ind w:left="360" w:hanging="230"/>
      </w:pPr>
      <w:r>
        <w:t>Legal-tech ecosystem access</w:t>
      </w:r>
    </w:p>
    <w:p>
      <w:pPr>
        <w:pStyle w:val="ListBullet"/>
        <w:spacing w:after="60"/>
        <w:ind w:left="360" w:hanging="230"/>
      </w:pPr>
      <w:r>
        <w:t>Microsoft Investor Network referral</w:t>
      </w:r>
    </w:p>
    <w:p>
      <w:pPr>
        <w:pStyle w:val="ListBullet"/>
        <w:spacing w:after="60"/>
        <w:ind w:left="360" w:hanging="230"/>
      </w:pPr>
      <w:r>
        <w:t>Marketplace preparation</w:t>
      </w:r>
    </w:p>
    <w:p>
      <w:pPr>
        <w:pStyle w:val="Heading2"/>
      </w:pPr>
      <w:r>
        <w:t>14.13 Thirty-Target Application Board</w:t>
      </w:r>
    </w:p>
    <w:p>
      <w:r>
        <w:t>The current investor strategy includes a 30-target application checklist.</w:t>
      </w:r>
    </w:p>
    <w:p>
      <w:pPr>
        <w:pStyle w:val="ListBullet"/>
        <w:spacing w:after="60"/>
        <w:ind w:left="360" w:hanging="230"/>
      </w:pPr>
      <w:r>
        <w:t>Research required</w:t>
      </w:r>
    </w:p>
    <w:p>
      <w:pPr>
        <w:pStyle w:val="ListBullet"/>
        <w:spacing w:after="60"/>
        <w:ind w:left="360" w:hanging="230"/>
      </w:pPr>
      <w:r>
        <w:t>Appropriate</w:t>
      </w:r>
    </w:p>
    <w:p>
      <w:pPr>
        <w:pStyle w:val="ListBullet"/>
        <w:spacing w:after="60"/>
        <w:ind w:left="360" w:hanging="230"/>
      </w:pPr>
      <w:r>
        <w:t>Not appropriate</w:t>
      </w:r>
    </w:p>
    <w:p>
      <w:pPr>
        <w:pStyle w:val="ListBullet"/>
        <w:spacing w:after="60"/>
        <w:ind w:left="360" w:hanging="230"/>
      </w:pPr>
      <w:r>
        <w:t>Application available</w:t>
      </w:r>
    </w:p>
    <w:p>
      <w:pPr>
        <w:pStyle w:val="ListBullet"/>
        <w:spacing w:after="60"/>
        <w:ind w:left="360" w:hanging="230"/>
      </w:pPr>
      <w:r>
        <w:t>Introduction required</w:t>
      </w:r>
    </w:p>
    <w:p>
      <w:pPr>
        <w:pStyle w:val="ListBullet"/>
        <w:spacing w:after="60"/>
        <w:ind w:left="360" w:hanging="230"/>
      </w:pPr>
      <w:r>
        <w:t>Materials required</w:t>
      </w:r>
    </w:p>
    <w:p>
      <w:pPr>
        <w:pStyle w:val="ListBullet"/>
        <w:spacing w:after="60"/>
        <w:ind w:left="360" w:hanging="230"/>
      </w:pPr>
      <w:r>
        <w:t>Ready</w:t>
      </w:r>
    </w:p>
    <w:p>
      <w:pPr>
        <w:pStyle w:val="ListBullet"/>
        <w:spacing w:after="60"/>
        <w:ind w:left="360" w:hanging="230"/>
      </w:pPr>
      <w:r>
        <w:t>Submitted</w:t>
      </w:r>
    </w:p>
    <w:p>
      <w:pPr>
        <w:pStyle w:val="ListBullet"/>
        <w:spacing w:after="60"/>
        <w:ind w:left="360" w:hanging="230"/>
      </w:pPr>
      <w:r>
        <w:t>Follow-up</w:t>
      </w:r>
    </w:p>
    <w:p>
      <w:pPr>
        <w:pStyle w:val="ListBullet"/>
        <w:spacing w:after="60"/>
        <w:ind w:left="360" w:hanging="230"/>
      </w:pPr>
      <w:r>
        <w:t>Meeting</w:t>
      </w:r>
    </w:p>
    <w:p>
      <w:pPr>
        <w:pStyle w:val="ListBullet"/>
        <w:spacing w:after="60"/>
        <w:ind w:left="360" w:hanging="230"/>
      </w:pPr>
      <w:r>
        <w:t>Declined</w:t>
      </w:r>
    </w:p>
    <w:p>
      <w:pPr>
        <w:pStyle w:val="ListBullet"/>
        <w:spacing w:after="60"/>
        <w:ind w:left="360" w:hanging="230"/>
      </w:pPr>
      <w:r>
        <w:t>Active diligence</w:t>
      </w:r>
    </w:p>
    <w:p>
      <w:pPr>
        <w:pStyle w:val="ListBullet"/>
        <w:spacing w:after="60"/>
        <w:ind w:left="360" w:hanging="230"/>
      </w:pPr>
      <w:r>
        <w:t>Closed</w:t>
      </w:r>
    </w:p>
    <w:p>
      <w:pPr>
        <w:pStyle w:val="Heading2"/>
      </w:pPr>
      <w:r>
        <w:t>14.14 Common Application Asset Stack</w:t>
      </w:r>
    </w:p>
    <w:p>
      <w:r>
        <w:t>Most investor applications repeatedly request variations of the same underlying information.</w:t>
      </w:r>
    </w:p>
    <w:p>
      <w:pPr>
        <w:pStyle w:val="ListBullet"/>
        <w:spacing w:after="60"/>
        <w:ind w:left="360" w:hanging="230"/>
      </w:pPr>
      <w:r>
        <w:t>Working demo</w:t>
      </w:r>
    </w:p>
    <w:p>
      <w:pPr>
        <w:pStyle w:val="ListBullet"/>
        <w:spacing w:after="60"/>
        <w:ind w:left="360" w:hanging="230"/>
      </w:pPr>
      <w:r>
        <w:t>Sample input</w:t>
      </w:r>
    </w:p>
    <w:p>
      <w:pPr>
        <w:pStyle w:val="ListBullet"/>
        <w:spacing w:after="60"/>
        <w:ind w:left="360" w:hanging="230"/>
      </w:pPr>
      <w:r>
        <w:t>Product website</w:t>
      </w:r>
    </w:p>
    <w:p>
      <w:pPr>
        <w:pStyle w:val="ListBullet"/>
        <w:spacing w:after="60"/>
        <w:ind w:left="360" w:hanging="230"/>
      </w:pPr>
      <w:r>
        <w:t>Waitlist/customer evidence</w:t>
      </w:r>
    </w:p>
    <w:p>
      <w:pPr>
        <w:pStyle w:val="ListBullet"/>
        <w:spacing w:after="60"/>
        <w:ind w:left="360" w:hanging="230"/>
      </w:pPr>
      <w:r>
        <w:t>Founder biography</w:t>
      </w:r>
    </w:p>
    <w:p>
      <w:pPr>
        <w:pStyle w:val="ListBullet"/>
        <w:spacing w:after="60"/>
        <w:ind w:left="360" w:hanging="230"/>
      </w:pPr>
      <w:r>
        <w:t>Pitch deck</w:t>
      </w:r>
    </w:p>
    <w:p>
      <w:pPr>
        <w:pStyle w:val="ListBullet"/>
        <w:spacing w:after="60"/>
        <w:ind w:left="360" w:hanging="230"/>
      </w:pPr>
      <w:r>
        <w:t>Architecture</w:t>
      </w:r>
    </w:p>
    <w:p>
      <w:pPr>
        <w:pStyle w:val="ListBullet"/>
        <w:spacing w:after="60"/>
        <w:ind w:left="360" w:hanging="230"/>
      </w:pPr>
      <w:r>
        <w:t>Market/problem statement</w:t>
      </w:r>
    </w:p>
    <w:p>
      <w:pPr>
        <w:pStyle w:val="ListBullet"/>
        <w:spacing w:after="60"/>
        <w:ind w:left="360" w:hanging="230"/>
      </w:pPr>
      <w:r>
        <w:t>Revenue model</w:t>
      </w:r>
    </w:p>
    <w:p>
      <w:pPr>
        <w:pStyle w:val="ListBullet"/>
        <w:spacing w:after="60"/>
        <w:ind w:left="360" w:hanging="230"/>
      </w:pPr>
      <w:r>
        <w:t>Use of funds</w:t>
      </w:r>
    </w:p>
    <w:p>
      <w:pPr>
        <w:pStyle w:val="ListBullet"/>
        <w:spacing w:after="60"/>
        <w:ind w:left="360" w:hanging="230"/>
      </w:pPr>
      <w:r>
        <w:t>Product roadmap</w:t>
      </w:r>
    </w:p>
    <w:p>
      <w:pPr>
        <w:pStyle w:val="ListBullet"/>
        <w:spacing w:after="60"/>
        <w:ind w:left="360" w:hanging="230"/>
      </w:pPr>
      <w:r>
        <w:t>Accurate Azure status</w:t>
      </w:r>
    </w:p>
    <w:p>
      <w:pPr>
        <w:pStyle w:val="ListBullet"/>
        <w:spacing w:after="60"/>
        <w:ind w:left="360" w:hanging="230"/>
      </w:pPr>
      <w:r>
        <w:t>Customer/evaluator feedback</w:t>
      </w:r>
    </w:p>
    <w:p>
      <w:pPr>
        <w:pStyle w:val="Heading2"/>
      </w:pPr>
      <w:r>
        <w:t>14.15 Product Website</w:t>
      </w:r>
    </w:p>
    <w:p>
      <w:r>
        <w:t>The DRE website is itself an investor asset.</w:t>
      </w:r>
    </w:p>
    <w:p>
      <w:pPr>
        <w:pStyle w:val="ListBullet"/>
        <w:spacing w:after="60"/>
        <w:ind w:left="360" w:hanging="230"/>
      </w:pPr>
      <w:r>
        <w:t>What DRE does</w:t>
      </w:r>
    </w:p>
    <w:p>
      <w:pPr>
        <w:pStyle w:val="ListBullet"/>
        <w:spacing w:after="60"/>
        <w:ind w:left="360" w:hanging="230"/>
      </w:pPr>
      <w:r>
        <w:t>Who it serves</w:t>
      </w:r>
    </w:p>
    <w:p>
      <w:pPr>
        <w:pStyle w:val="ListBullet"/>
        <w:spacing w:after="60"/>
        <w:ind w:left="360" w:hanging="230"/>
      </w:pPr>
      <w:r>
        <w:t>How billing review works</w:t>
      </w:r>
    </w:p>
    <w:p>
      <w:pPr>
        <w:pStyle w:val="ListBullet"/>
        <w:spacing w:after="60"/>
        <w:ind w:left="360" w:hanging="230"/>
      </w:pPr>
      <w:r>
        <w:t>Deterministic architecture</w:t>
      </w:r>
    </w:p>
    <w:p>
      <w:pPr>
        <w:pStyle w:val="ListBullet"/>
        <w:spacing w:after="60"/>
        <w:ind w:left="360" w:hanging="230"/>
      </w:pPr>
      <w:r>
        <w:t>Consensus architecture</w:t>
      </w:r>
    </w:p>
    <w:p>
      <w:pPr>
        <w:pStyle w:val="ListBullet"/>
        <w:spacing w:after="60"/>
        <w:ind w:left="360" w:hanging="230"/>
      </w:pPr>
      <w:r>
        <w:t>Azure architecture</w:t>
      </w:r>
    </w:p>
    <w:p>
      <w:pPr>
        <w:pStyle w:val="ListBullet"/>
        <w:spacing w:after="60"/>
        <w:ind w:left="360" w:hanging="230"/>
      </w:pPr>
      <w:r>
        <w:t>Security direction</w:t>
      </w:r>
    </w:p>
    <w:p>
      <w:pPr>
        <w:pStyle w:val="ListBullet"/>
        <w:spacing w:after="60"/>
        <w:ind w:left="360" w:hanging="230"/>
      </w:pPr>
      <w:r>
        <w:t>Validation methodology</w:t>
      </w:r>
    </w:p>
    <w:p>
      <w:pPr>
        <w:pStyle w:val="ListBullet"/>
        <w:spacing w:after="60"/>
        <w:ind w:left="360" w:hanging="230"/>
      </w:pPr>
      <w:r>
        <w:t>Working demonstration</w:t>
      </w:r>
    </w:p>
    <w:p>
      <w:pPr>
        <w:pStyle w:val="ListBullet"/>
        <w:spacing w:after="60"/>
        <w:ind w:left="360" w:hanging="230"/>
      </w:pPr>
      <w:r>
        <w:t>Technical documentation</w:t>
      </w:r>
    </w:p>
    <w:p>
      <w:pPr>
        <w:pStyle w:val="Heading2"/>
      </w:pPr>
      <w:r>
        <w:t>14.16 Pitch Deck</w:t>
      </w:r>
    </w:p>
    <w:p>
      <w:r>
        <w:t>The pitch deck should compress the larger DRE evidence base into an investor decision sequence.</w:t>
      </w:r>
    </w:p>
    <w:p>
      <w:pPr>
        <w:pStyle w:val="ListBullet"/>
        <w:spacing w:after="60"/>
        <w:ind w:left="360" w:hanging="230"/>
      </w:pPr>
      <w:r>
        <w:t>What is the problem?</w:t>
      </w:r>
    </w:p>
    <w:p>
      <w:pPr>
        <w:pStyle w:val="ListBullet"/>
        <w:spacing w:after="60"/>
        <w:ind w:left="360" w:hanging="230"/>
      </w:pPr>
      <w:r>
        <w:t>Who has it?</w:t>
      </w:r>
    </w:p>
    <w:p>
      <w:pPr>
        <w:pStyle w:val="ListBullet"/>
        <w:spacing w:after="60"/>
        <w:ind w:left="360" w:hanging="230"/>
      </w:pPr>
      <w:r>
        <w:t>Why is it expensive or operationally painful?</w:t>
      </w:r>
    </w:p>
    <w:p>
      <w:pPr>
        <w:pStyle w:val="ListBullet"/>
        <w:spacing w:after="60"/>
        <w:ind w:left="360" w:hanging="230"/>
      </w:pPr>
      <w:r>
        <w:t>What is DRE?</w:t>
      </w:r>
    </w:p>
    <w:p>
      <w:pPr>
        <w:pStyle w:val="ListBullet"/>
        <w:spacing w:after="60"/>
        <w:ind w:left="360" w:hanging="230"/>
      </w:pPr>
      <w:r>
        <w:t>How does it work?</w:t>
      </w:r>
    </w:p>
    <w:p>
      <w:pPr>
        <w:pStyle w:val="ListBullet"/>
        <w:spacing w:after="60"/>
        <w:ind w:left="360" w:hanging="230"/>
      </w:pPr>
      <w:r>
        <w:t>Why is the architecture different?</w:t>
      </w:r>
    </w:p>
    <w:p>
      <w:pPr>
        <w:pStyle w:val="ListBullet"/>
        <w:spacing w:after="60"/>
        <w:ind w:left="360" w:hanging="230"/>
      </w:pPr>
      <w:r>
        <w:t>Why now?</w:t>
      </w:r>
    </w:p>
    <w:p>
      <w:pPr>
        <w:pStyle w:val="ListBullet"/>
        <w:spacing w:after="60"/>
        <w:ind w:left="360" w:hanging="230"/>
      </w:pPr>
      <w:r>
        <w:t>What has already been built?</w:t>
      </w:r>
    </w:p>
    <w:p>
      <w:pPr>
        <w:pStyle w:val="ListBullet"/>
        <w:spacing w:after="60"/>
        <w:ind w:left="360" w:hanging="230"/>
      </w:pPr>
      <w:r>
        <w:t>Can I see it work?</w:t>
      </w:r>
    </w:p>
    <w:p>
      <w:pPr>
        <w:pStyle w:val="ListBullet"/>
        <w:spacing w:after="60"/>
        <w:ind w:left="360" w:hanging="230"/>
      </w:pPr>
      <w:r>
        <w:t>What does the market look like?</w:t>
      </w:r>
    </w:p>
    <w:p>
      <w:pPr>
        <w:pStyle w:val="ListBullet"/>
        <w:spacing w:after="60"/>
        <w:ind w:left="360" w:hanging="230"/>
      </w:pPr>
      <w:r>
        <w:t>Who competes?</w:t>
      </w:r>
    </w:p>
    <w:p>
      <w:pPr>
        <w:pStyle w:val="ListBullet"/>
        <w:spacing w:after="60"/>
        <w:ind w:left="360" w:hanging="230"/>
      </w:pPr>
      <w:r>
        <w:t>Why can DRE win?</w:t>
      </w:r>
    </w:p>
    <w:p>
      <w:pPr>
        <w:pStyle w:val="ListBullet"/>
        <w:spacing w:after="60"/>
        <w:ind w:left="360" w:hanging="230"/>
      </w:pPr>
      <w:r>
        <w:t>What is the commercial model?</w:t>
      </w:r>
    </w:p>
    <w:p>
      <w:pPr>
        <w:pStyle w:val="ListBullet"/>
        <w:spacing w:after="60"/>
        <w:ind w:left="360" w:hanging="230"/>
      </w:pPr>
      <w:r>
        <w:t>What evidence exists?</w:t>
      </w:r>
    </w:p>
    <w:p>
      <w:pPr>
        <w:pStyle w:val="ListBullet"/>
        <w:spacing w:after="60"/>
        <w:ind w:left="360" w:hanging="230"/>
      </w:pPr>
      <w:r>
        <w:t>What is the Azure/Microsoft strategy?</w:t>
      </w:r>
    </w:p>
    <w:p>
      <w:pPr>
        <w:pStyle w:val="ListBullet"/>
        <w:spacing w:after="60"/>
        <w:ind w:left="360" w:hanging="230"/>
      </w:pPr>
      <w:r>
        <w:t>What remains to be built?</w:t>
      </w:r>
    </w:p>
    <w:p>
      <w:pPr>
        <w:pStyle w:val="ListBullet"/>
        <w:spacing w:after="60"/>
        <w:ind w:left="360" w:hanging="230"/>
      </w:pPr>
      <w:r>
        <w:t>What capital is being raised?</w:t>
      </w:r>
    </w:p>
    <w:p>
      <w:pPr>
        <w:pStyle w:val="ListBullet"/>
        <w:spacing w:after="60"/>
        <w:ind w:left="360" w:hanging="230"/>
      </w:pPr>
      <w:r>
        <w:t>What will the capital accomplish?</w:t>
      </w:r>
    </w:p>
    <w:p>
      <w:pPr>
        <w:pStyle w:val="ListBullet"/>
        <w:spacing w:after="60"/>
        <w:ind w:left="360" w:hanging="230"/>
      </w:pPr>
      <w:r>
        <w:t>Why this founder?</w:t>
      </w:r>
    </w:p>
    <w:p>
      <w:pPr>
        <w:pStyle w:val="Heading2"/>
      </w:pPr>
      <w:r>
        <w:t>14.17 Architecture Material</w:t>
      </w:r>
    </w:p>
    <w:p>
      <w:r>
        <w:t>Technical investors and enterprise-focused investors may want considerably more architecture depth than belongs in the main deck.</w:t>
      </w:r>
    </w:p>
    <w:p>
      <w:pPr>
        <w:pStyle w:val="ListBullet"/>
        <w:spacing w:after="60"/>
        <w:ind w:left="360" w:hanging="230"/>
      </w:pPr>
      <w:r>
        <w:t>Deterministic engine</w:t>
      </w:r>
    </w:p>
    <w:p>
      <w:pPr>
        <w:pStyle w:val="ListBullet"/>
        <w:spacing w:after="60"/>
        <w:ind w:left="360" w:hanging="230"/>
      </w:pPr>
      <w:r>
        <w:t>Transaction orchestration</w:t>
      </w:r>
    </w:p>
    <w:p>
      <w:pPr>
        <w:pStyle w:val="ListBullet"/>
        <w:spacing w:after="60"/>
        <w:ind w:left="360" w:hanging="230"/>
      </w:pPr>
      <w:r>
        <w:t>Consensus wrapper</w:t>
      </w:r>
    </w:p>
    <w:p>
      <w:pPr>
        <w:pStyle w:val="ListBullet"/>
        <w:spacing w:after="60"/>
        <w:ind w:left="360" w:hanging="230"/>
      </w:pPr>
      <w:r>
        <w:t>Agent roles</w:t>
      </w:r>
    </w:p>
    <w:p>
      <w:pPr>
        <w:pStyle w:val="ListBullet"/>
        <w:spacing w:after="60"/>
        <w:ind w:left="360" w:hanging="230"/>
      </w:pPr>
      <w:r>
        <w:t>Referee logic</w:t>
      </w:r>
    </w:p>
    <w:p>
      <w:pPr>
        <w:pStyle w:val="ListBullet"/>
        <w:spacing w:after="60"/>
        <w:ind w:left="360" w:hanging="230"/>
      </w:pPr>
      <w:r>
        <w:t>Azure infrastructure</w:t>
      </w:r>
    </w:p>
    <w:p>
      <w:pPr>
        <w:pStyle w:val="ListBullet"/>
        <w:spacing w:after="60"/>
        <w:ind w:left="360" w:hanging="230"/>
      </w:pPr>
      <w:r>
        <w:t>Network direction</w:t>
      </w:r>
    </w:p>
    <w:p>
      <w:pPr>
        <w:pStyle w:val="ListBullet"/>
        <w:spacing w:after="60"/>
        <w:ind w:left="360" w:hanging="230"/>
      </w:pPr>
      <w:r>
        <w:t>Key management</w:t>
      </w:r>
    </w:p>
    <w:p>
      <w:pPr>
        <w:pStyle w:val="ListBullet"/>
        <w:spacing w:after="60"/>
        <w:ind w:left="360" w:hanging="230"/>
      </w:pPr>
      <w:r>
        <w:t>Persistence</w:t>
      </w:r>
    </w:p>
    <w:p>
      <w:pPr>
        <w:pStyle w:val="ListBullet"/>
        <w:spacing w:after="60"/>
        <w:ind w:left="360" w:hanging="230"/>
      </w:pPr>
      <w:r>
        <w:t>Validation</w:t>
      </w:r>
    </w:p>
    <w:p>
      <w:pPr>
        <w:pStyle w:val="ListBullet"/>
        <w:spacing w:after="60"/>
        <w:ind w:left="360" w:hanging="230"/>
      </w:pPr>
      <w:r>
        <w:t>Human authority</w:t>
      </w:r>
    </w:p>
    <w:p>
      <w:pPr>
        <w:pStyle w:val="ListBullet"/>
        <w:spacing w:after="60"/>
        <w:ind w:left="360" w:hanging="230"/>
      </w:pPr>
      <w:r>
        <w:t>Audit evidence</w:t>
      </w:r>
    </w:p>
    <w:p>
      <w:pPr>
        <w:pStyle w:val="Heading2"/>
      </w:pPr>
      <w:r>
        <w:t>14.18 Market Evidence</w:t>
      </w:r>
    </w:p>
    <w:p>
      <w:r>
        <w:t>Investor materials should distinguish external market evidence from DRE-specific validation.</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EXTERNAL MARKET EVIDENCE</w:t>
            </w:r>
          </w:p>
        </w:tc>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DRE-SPECIFIC EVIDENCE</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6"/>
              </w:rPr>
              <w:t>Corporate legal departments already purchase e-billing technology; legal-billing review is established; users report workflow and implementation pain; customers sometimes want narrower functionality.</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6"/>
              </w:rPr>
              <w:t>Demo use, waitlist, feedback, reviews, design partners, customer discussions, commercial commitments, revenue, deployment, and measured outcomes.</w:t>
            </w:r>
          </w:p>
        </w:tc>
      </w:tr>
    </w:tbl>
    <w:p/>
    <w:p>
      <w:r>
        <w:t>The first supports the market thesis.</w:t>
      </w:r>
    </w:p>
    <w:p>
      <w:r>
        <w:t>The second supports the company.</w:t>
      </w:r>
    </w:p>
    <w:p>
      <w:pPr>
        <w:pStyle w:val="Heading2"/>
      </w:pPr>
      <w:r>
        <w:t>14.19 Customer Evidence Before Scale</w:t>
      </w:r>
    </w:p>
    <w:p>
      <w:r>
        <w:t>DRE does not need hundreds of customers before investor outreach begins.</w:t>
      </w:r>
    </w:p>
    <w:p>
      <w:pPr>
        <w:pStyle w:val="ListBullet"/>
        <w:spacing w:after="60"/>
        <w:ind w:left="360" w:hanging="230"/>
      </w:pPr>
      <w:r>
        <w:t>A general counsel who uses the demo and asks for follow-up</w:t>
      </w:r>
    </w:p>
    <w:p>
      <w:pPr>
        <w:pStyle w:val="ListBullet"/>
        <w:spacing w:after="60"/>
        <w:ind w:left="360" w:hanging="230"/>
      </w:pPr>
      <w:r>
        <w:t>A legal-operations professional identifying a specific required feature</w:t>
      </w:r>
    </w:p>
    <w:p>
      <w:pPr>
        <w:pStyle w:val="ListBullet"/>
        <w:spacing w:after="60"/>
        <w:ind w:left="360" w:hanging="230"/>
      </w:pPr>
      <w:r>
        <w:t>A design partner willing to evaluate deployment</w:t>
      </w:r>
    </w:p>
    <w:p>
      <w:pPr>
        <w:pStyle w:val="ListBullet"/>
        <w:spacing w:after="60"/>
        <w:ind w:left="360" w:hanging="230"/>
      </w:pPr>
      <w:r>
        <w:t>A company willing to provide OCG requirements</w:t>
      </w:r>
    </w:p>
    <w:p>
      <w:pPr>
        <w:pStyle w:val="ListBullet"/>
        <w:spacing w:after="60"/>
        <w:ind w:left="360" w:hanging="230"/>
      </w:pPr>
      <w:r>
        <w:t>A paid early customer</w:t>
      </w:r>
    </w:p>
    <w:p>
      <w:pPr>
        <w:pStyle w:val="ListBullet"/>
        <w:spacing w:after="60"/>
        <w:ind w:left="360" w:hanging="230"/>
      </w:pPr>
      <w:r>
        <w:t>A Microsoft or investor introduction to a qualified corporate legal buyer</w:t>
      </w:r>
    </w:p>
    <w:p>
      <w:pPr>
        <w:pStyle w:val="Heading2"/>
      </w:pPr>
      <w:r>
        <w:t>14.20 Revenue Evidence</w:t>
      </w:r>
    </w:p>
    <w:p>
      <w:r>
        <w:t>Revenue should be reported conservatively and precisely.</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COMMERCIAL PROGRESSION</w:t>
              <w:br/>
            </w:r>
            <w:r>
              <w:t>Interest → conversation → proposal → signed engagement → payment → deployment → continuing use.</w:t>
            </w:r>
          </w:p>
        </w:tc>
      </w:tr>
    </w:tbl>
    <w:p/>
    <w:p>
      <w:r>
        <w:t>Investor materials should not collapse those stages.</w:t>
      </w:r>
    </w:p>
    <w:p>
      <w:pPr>
        <w:pStyle w:val="Heading2"/>
      </w:pPr>
      <w:r>
        <w:t>14.21 Initial Commercial Hypothesis</w:t>
      </w:r>
    </w:p>
    <w:p>
      <w:r>
        <w:t>The current design-partner hypothesis includes an initial $10,000 commercial engagement for serious early customers willing to work directly with DRE during product maturation.</w:t>
      </w:r>
    </w:p>
    <w:p>
      <w:pPr>
        <w:pStyle w:val="Heading2"/>
      </w:pPr>
      <w:r>
        <w:t>14.22 Investment Ask</w:t>
      </w:r>
    </w:p>
    <w:p>
      <w:r>
        <w:t>The exact investment ask has not yet been finalized.</w:t>
      </w:r>
    </w:p>
    <w:p>
      <w:pPr>
        <w:pStyle w:val="ListBullet"/>
        <w:spacing w:after="60"/>
        <w:ind w:left="360" w:hanging="230"/>
      </w:pPr>
      <w:r>
        <w:t>How much capital is being raised?</w:t>
      </w:r>
    </w:p>
    <w:p>
      <w:pPr>
        <w:pStyle w:val="ListBullet"/>
        <w:spacing w:after="60"/>
        <w:ind w:left="360" w:hanging="230"/>
      </w:pPr>
      <w:r>
        <w:t>What milestones does that capital purchase?</w:t>
      </w:r>
    </w:p>
    <w:p>
      <w:pPr>
        <w:pStyle w:val="ListBullet"/>
        <w:spacing w:after="60"/>
        <w:ind w:left="360" w:hanging="230"/>
      </w:pPr>
      <w:r>
        <w:t>How long does it extend runway?</w:t>
      </w:r>
    </w:p>
    <w:p>
      <w:pPr>
        <w:pStyle w:val="ListBullet"/>
        <w:spacing w:after="60"/>
        <w:ind w:left="360" w:hanging="230"/>
      </w:pPr>
      <w:r>
        <w:t>What should DRE look like when that capital has been deployed?</w:t>
      </w:r>
    </w:p>
    <w:p>
      <w:r>
        <w:t>The amount should therefore follow the operating plan and use-of-funds analysis.</w:t>
      </w:r>
    </w:p>
    <w:p>
      <w:pPr>
        <w:pStyle w:val="Heading2"/>
      </w:pPr>
      <w:r>
        <w:t>14.23 Use of Funds</w:t>
      </w:r>
    </w:p>
    <w:p>
      <w:r>
        <w:t>Potential DRE uses of investment capital include:</w:t>
      </w:r>
    </w:p>
    <w:p>
      <w:pPr>
        <w:pStyle w:val="ListBullet"/>
        <w:spacing w:after="60"/>
        <w:ind w:left="360" w:hanging="230"/>
      </w:pPr>
      <w:r>
        <w:t>Product engineering</w:t>
      </w:r>
    </w:p>
    <w:p>
      <w:pPr>
        <w:pStyle w:val="ListBullet"/>
        <w:spacing w:after="60"/>
        <w:ind w:left="360" w:hanging="230"/>
      </w:pPr>
      <w:r>
        <w:t>Azure infrastructure</w:t>
      </w:r>
    </w:p>
    <w:p>
      <w:pPr>
        <w:pStyle w:val="ListBullet"/>
        <w:spacing w:after="60"/>
        <w:ind w:left="360" w:hanging="230"/>
      </w:pPr>
      <w:r>
        <w:t>Enterprise hardening</w:t>
      </w:r>
    </w:p>
    <w:p>
      <w:pPr>
        <w:pStyle w:val="ListBullet"/>
        <w:spacing w:after="60"/>
        <w:ind w:left="360" w:hanging="230"/>
      </w:pPr>
      <w:r>
        <w:t>Security</w:t>
      </w:r>
    </w:p>
    <w:p>
      <w:pPr>
        <w:pStyle w:val="ListBullet"/>
        <w:spacing w:after="60"/>
        <w:ind w:left="360" w:hanging="230"/>
      </w:pPr>
      <w:r>
        <w:t>Validation</w:t>
      </w:r>
    </w:p>
    <w:p>
      <w:pPr>
        <w:pStyle w:val="ListBullet"/>
        <w:spacing w:after="60"/>
        <w:ind w:left="360" w:hanging="230"/>
      </w:pPr>
      <w:r>
        <w:t>Customer deployment</w:t>
      </w:r>
    </w:p>
    <w:p>
      <w:pPr>
        <w:pStyle w:val="ListBullet"/>
        <w:spacing w:after="60"/>
        <w:ind w:left="360" w:hanging="230"/>
      </w:pPr>
      <w:r>
        <w:t>Legal/commercial documentation</w:t>
      </w:r>
    </w:p>
    <w:p>
      <w:pPr>
        <w:pStyle w:val="ListBullet"/>
        <w:spacing w:after="60"/>
        <w:ind w:left="360" w:hanging="230"/>
      </w:pPr>
      <w:r>
        <w:t>Product design</w:t>
      </w:r>
    </w:p>
    <w:p>
      <w:pPr>
        <w:pStyle w:val="ListBullet"/>
        <w:spacing w:after="60"/>
        <w:ind w:left="360" w:hanging="230"/>
      </w:pPr>
      <w:r>
        <w:t>Customer acquisition</w:t>
      </w:r>
    </w:p>
    <w:p>
      <w:pPr>
        <w:pStyle w:val="ListBullet"/>
        <w:spacing w:after="60"/>
        <w:ind w:left="360" w:hanging="230"/>
      </w:pPr>
      <w:r>
        <w:t>Marketplace preparation</w:t>
      </w:r>
    </w:p>
    <w:p>
      <w:pPr>
        <w:pStyle w:val="ListBullet"/>
        <w:spacing w:after="60"/>
        <w:ind w:left="360" w:hanging="230"/>
      </w:pPr>
      <w:r>
        <w:t>Support capability</w:t>
      </w:r>
    </w:p>
    <w:p>
      <w:pPr>
        <w:pStyle w:val="ListBullet"/>
        <w:spacing w:after="60"/>
        <w:ind w:left="360" w:hanging="230"/>
      </w:pPr>
      <w:r>
        <w:t>Founder/company operating runway</w:t>
      </w:r>
    </w:p>
    <w:p>
      <w:pPr>
        <w:pStyle w:val="Heading2"/>
      </w:pPr>
      <w:r>
        <w:t>14.24 Milestone-Based Capital Story</w:t>
      </w:r>
    </w:p>
    <w:p>
      <w:r>
        <w:t>A strong capital story connects dollars to measurable progress.</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CAPITAL STORY</w:t>
              <w:br/>
            </w:r>
            <w:r>
              <w:t>Working demonstration → Live evaluator evidence → Design partners → Customer-deployable Azure architecture → Initial commercial customers → Repeatable deployment → Marketplace readiness → Recurring revenue.</w:t>
            </w:r>
          </w:p>
        </w:tc>
      </w:tr>
    </w:tbl>
    <w:p/>
    <w:p>
      <w:pPr>
        <w:pStyle w:val="Heading2"/>
      </w:pPr>
      <w:r>
        <w:t>14.25 Microsoft as Investor Evidence</w:t>
      </w:r>
    </w:p>
    <w:p>
      <w:r>
        <w:t>DRE’s Microsoft strategy strengthens the investor narrative when represented accurately.</w:t>
      </w:r>
    </w:p>
    <w:p>
      <w:pPr>
        <w:pStyle w:val="ListBullet"/>
        <w:spacing w:after="60"/>
        <w:ind w:left="360" w:hanging="230"/>
      </w:pPr>
      <w:r>
        <w:t>Microsoft for Startups participation/progression</w:t>
      </w:r>
    </w:p>
    <w:p>
      <w:pPr>
        <w:pStyle w:val="ListBullet"/>
        <w:spacing w:after="60"/>
        <w:ind w:left="360" w:hanging="230"/>
      </w:pPr>
      <w:r>
        <w:t>Azure deployment</w:t>
      </w:r>
    </w:p>
    <w:p>
      <w:pPr>
        <w:pStyle w:val="ListBullet"/>
        <w:spacing w:after="60"/>
        <w:ind w:left="360" w:hanging="230"/>
      </w:pPr>
      <w:r>
        <w:t>Increasing legitimate Azure workload adoption</w:t>
      </w:r>
    </w:p>
    <w:p>
      <w:pPr>
        <w:pStyle w:val="ListBullet"/>
        <w:spacing w:after="60"/>
        <w:ind w:left="360" w:hanging="230"/>
      </w:pPr>
      <w:r>
        <w:t>Customer-owned Azure architecture</w:t>
      </w:r>
    </w:p>
    <w:p>
      <w:pPr>
        <w:pStyle w:val="ListBullet"/>
        <w:spacing w:after="60"/>
        <w:ind w:left="360" w:hanging="230"/>
      </w:pPr>
      <w:r>
        <w:t>Azure OpenAI integration</w:t>
      </w:r>
    </w:p>
    <w:p>
      <w:pPr>
        <w:pStyle w:val="ListBullet"/>
        <w:spacing w:after="60"/>
        <w:ind w:left="360" w:hanging="230"/>
      </w:pPr>
      <w:r>
        <w:t>Infrastructure as Code</w:t>
      </w:r>
    </w:p>
    <w:p>
      <w:pPr>
        <w:pStyle w:val="ListBullet"/>
        <w:spacing w:after="60"/>
        <w:ind w:left="360" w:hanging="230"/>
      </w:pPr>
      <w:r>
        <w:t>Validation work</w:t>
      </w:r>
    </w:p>
    <w:p>
      <w:pPr>
        <w:pStyle w:val="ListBullet"/>
        <w:spacing w:after="60"/>
        <w:ind w:left="360" w:hanging="230"/>
      </w:pPr>
      <w:r>
        <w:t>Marketplace direction</w:t>
      </w:r>
    </w:p>
    <w:p>
      <w:pPr>
        <w:pStyle w:val="ListBullet"/>
        <w:spacing w:after="60"/>
        <w:ind w:left="360" w:hanging="230"/>
      </w:pPr>
      <w:r>
        <w:t>Future co-sell potential</w:t>
      </w:r>
    </w:p>
    <w:p>
      <w:pPr>
        <w:pStyle w:val="Heading2"/>
      </w:pPr>
      <w:r>
        <w:t>14.26 Investor Network and Microsoft</w:t>
      </w:r>
    </w:p>
    <w:p>
      <w:r>
        <w:t>The Microsoft Investor Network creates another connection between fundraising and technical commercialization.</w:t>
      </w:r>
    </w:p>
    <w:p>
      <w:pPr>
        <w:pStyle w:val="ListBullet"/>
        <w:spacing w:after="60"/>
        <w:ind w:left="360" w:hanging="230"/>
      </w:pPr>
      <w:r>
        <w:t>Additional Microsoft startup benefits</w:t>
      </w:r>
    </w:p>
    <w:p>
      <w:pPr>
        <w:pStyle w:val="ListBullet"/>
        <w:spacing w:after="60"/>
        <w:ind w:left="360" w:hanging="230"/>
      </w:pPr>
      <w:r>
        <w:t>Technical guidance</w:t>
      </w:r>
    </w:p>
    <w:p>
      <w:pPr>
        <w:pStyle w:val="ListBullet"/>
        <w:spacing w:after="60"/>
        <w:ind w:left="360" w:hanging="230"/>
      </w:pPr>
      <w:r>
        <w:t>Azure resources</w:t>
      </w:r>
    </w:p>
    <w:p>
      <w:pPr>
        <w:pStyle w:val="ListBullet"/>
        <w:spacing w:after="60"/>
        <w:ind w:left="360" w:hanging="230"/>
      </w:pPr>
      <w:r>
        <w:t>Marketplace preparation</w:t>
      </w:r>
    </w:p>
    <w:p>
      <w:pPr>
        <w:pStyle w:val="ListBullet"/>
        <w:spacing w:after="60"/>
        <w:ind w:left="360" w:hanging="230"/>
      </w:pPr>
      <w:r>
        <w:t>Co-sell pathways</w:t>
      </w:r>
    </w:p>
    <w:p>
      <w:pPr>
        <w:pStyle w:val="Heading2"/>
      </w:pPr>
      <w:r>
        <w:t>14.27 Due-Diligence Materials</w:t>
      </w:r>
    </w:p>
    <w:p>
      <w:r>
        <w:t>DRE should progressively assemble an organized diligence package.</w:t>
      </w:r>
    </w:p>
    <w:p>
      <w:pPr>
        <w:pStyle w:val="ListBullet"/>
        <w:spacing w:after="60"/>
        <w:ind w:left="360" w:hanging="230"/>
      </w:pPr>
      <w:r>
        <w:t>Company overview</w:t>
      </w:r>
    </w:p>
    <w:p>
      <w:pPr>
        <w:pStyle w:val="ListBullet"/>
        <w:spacing w:after="60"/>
        <w:ind w:left="360" w:hanging="230"/>
      </w:pPr>
      <w:r>
        <w:t>Founder biography</w:t>
      </w:r>
    </w:p>
    <w:p>
      <w:pPr>
        <w:pStyle w:val="ListBullet"/>
        <w:spacing w:after="60"/>
        <w:ind w:left="360" w:hanging="230"/>
      </w:pPr>
      <w:r>
        <w:t>Product overview</w:t>
      </w:r>
    </w:p>
    <w:p>
      <w:pPr>
        <w:pStyle w:val="ListBullet"/>
        <w:spacing w:after="60"/>
        <w:ind w:left="360" w:hanging="230"/>
      </w:pPr>
      <w:r>
        <w:t>Working demo</w:t>
      </w:r>
    </w:p>
    <w:p>
      <w:pPr>
        <w:pStyle w:val="ListBullet"/>
        <w:spacing w:after="60"/>
        <w:ind w:left="360" w:hanging="230"/>
      </w:pPr>
      <w:r>
        <w:t>Demo sample data</w:t>
      </w:r>
    </w:p>
    <w:p>
      <w:pPr>
        <w:pStyle w:val="ListBullet"/>
        <w:spacing w:after="60"/>
        <w:ind w:left="360" w:hanging="230"/>
      </w:pPr>
      <w:r>
        <w:t>Product architecture</w:t>
      </w:r>
    </w:p>
    <w:p>
      <w:pPr>
        <w:pStyle w:val="ListBullet"/>
        <w:spacing w:after="60"/>
        <w:ind w:left="360" w:hanging="230"/>
      </w:pPr>
      <w:r>
        <w:t>Current implementation status</w:t>
      </w:r>
    </w:p>
    <w:p>
      <w:pPr>
        <w:pStyle w:val="ListBullet"/>
        <w:spacing w:after="60"/>
        <w:ind w:left="360" w:hanging="230"/>
      </w:pPr>
      <w:r>
        <w:t>Development roadmap</w:t>
      </w:r>
    </w:p>
    <w:p>
      <w:pPr>
        <w:pStyle w:val="ListBullet"/>
        <w:spacing w:after="60"/>
        <w:ind w:left="360" w:hanging="230"/>
      </w:pPr>
      <w:r>
        <w:t>Azure architecture</w:t>
      </w:r>
    </w:p>
    <w:p>
      <w:pPr>
        <w:pStyle w:val="ListBullet"/>
        <w:spacing w:after="60"/>
        <w:ind w:left="360" w:hanging="230"/>
      </w:pPr>
      <w:r>
        <w:t>Security architecture</w:t>
      </w:r>
    </w:p>
    <w:p>
      <w:pPr>
        <w:pStyle w:val="ListBullet"/>
        <w:spacing w:after="60"/>
        <w:ind w:left="360" w:hanging="230"/>
      </w:pPr>
      <w:r>
        <w:t>Validation methodology</w:t>
      </w:r>
    </w:p>
    <w:p>
      <w:pPr>
        <w:pStyle w:val="ListBullet"/>
        <w:spacing w:after="60"/>
        <w:ind w:left="360" w:hanging="230"/>
      </w:pPr>
      <w:r>
        <w:t>Market research</w:t>
      </w:r>
    </w:p>
    <w:p>
      <w:pPr>
        <w:pStyle w:val="ListBullet"/>
        <w:spacing w:after="60"/>
        <w:ind w:left="360" w:hanging="230"/>
      </w:pPr>
      <w:r>
        <w:t>Competitive analysis</w:t>
      </w:r>
    </w:p>
    <w:p>
      <w:pPr>
        <w:pStyle w:val="ListBullet"/>
        <w:spacing w:after="60"/>
        <w:ind w:left="360" w:hanging="230"/>
      </w:pPr>
      <w:r>
        <w:t>Customer evidence</w:t>
      </w:r>
    </w:p>
    <w:p>
      <w:pPr>
        <w:pStyle w:val="ListBullet"/>
        <w:spacing w:after="60"/>
        <w:ind w:left="360" w:hanging="230"/>
      </w:pPr>
      <w:r>
        <w:t>Commercial model</w:t>
      </w:r>
    </w:p>
    <w:p>
      <w:pPr>
        <w:pStyle w:val="ListBullet"/>
        <w:spacing w:after="60"/>
        <w:ind w:left="360" w:hanging="230"/>
      </w:pPr>
      <w:r>
        <w:t>Pricing hypothesis</w:t>
      </w:r>
    </w:p>
    <w:p>
      <w:pPr>
        <w:pStyle w:val="ListBullet"/>
        <w:spacing w:after="60"/>
        <w:ind w:left="360" w:hanging="230"/>
      </w:pPr>
      <w:r>
        <w:t>Investor pipeline</w:t>
      </w:r>
    </w:p>
    <w:p>
      <w:pPr>
        <w:pStyle w:val="ListBullet"/>
        <w:spacing w:after="60"/>
        <w:ind w:left="360" w:hanging="230"/>
      </w:pPr>
      <w:r>
        <w:t>Microsoft strategy</w:t>
      </w:r>
    </w:p>
    <w:p>
      <w:pPr>
        <w:pStyle w:val="ListBullet"/>
        <w:spacing w:after="60"/>
        <w:ind w:left="360" w:hanging="230"/>
      </w:pPr>
      <w:r>
        <w:t>Intellectual-property ownership</w:t>
      </w:r>
    </w:p>
    <w:p>
      <w:pPr>
        <w:pStyle w:val="ListBullet"/>
        <w:spacing w:after="60"/>
        <w:ind w:left="360" w:hanging="230"/>
      </w:pPr>
      <w:r>
        <w:t>Corporate structure</w:t>
      </w:r>
    </w:p>
    <w:p>
      <w:pPr>
        <w:pStyle w:val="ListBullet"/>
        <w:spacing w:after="60"/>
        <w:ind w:left="360" w:hanging="230"/>
      </w:pPr>
      <w:r>
        <w:t>Financial model</w:t>
      </w:r>
    </w:p>
    <w:p>
      <w:pPr>
        <w:pStyle w:val="ListBullet"/>
        <w:spacing w:after="60"/>
        <w:ind w:left="360" w:hanging="230"/>
      </w:pPr>
      <w:r>
        <w:t>Use of funds</w:t>
      </w:r>
    </w:p>
    <w:p>
      <w:pPr>
        <w:pStyle w:val="ListBullet"/>
        <w:spacing w:after="60"/>
        <w:ind w:left="360" w:hanging="230"/>
      </w:pPr>
      <w:r>
        <w:t>Risk/dependency register</w:t>
      </w:r>
    </w:p>
    <w:p>
      <w:pPr>
        <w:pStyle w:val="Heading2"/>
      </w:pPr>
      <w:r>
        <w:t>14.28 Technical Diligence</w:t>
      </w:r>
    </w:p>
    <w:p>
      <w:r>
        <w:t>Technical diligence should allow an investor or qualified technical reviewer to understand both the strengths and unfinished areas of DRE.</w:t>
      </w:r>
    </w:p>
    <w:p>
      <w:pPr>
        <w:pStyle w:val="ListBullet"/>
        <w:spacing w:after="60"/>
        <w:ind w:left="360" w:hanging="230"/>
      </w:pPr>
      <w:r>
        <w:t>What code exists?</w:t>
      </w:r>
    </w:p>
    <w:p>
      <w:pPr>
        <w:pStyle w:val="ListBullet"/>
        <w:spacing w:after="60"/>
        <w:ind w:left="360" w:hanging="230"/>
      </w:pPr>
      <w:r>
        <w:t>What is deterministic?</w:t>
      </w:r>
    </w:p>
    <w:p>
      <w:pPr>
        <w:pStyle w:val="ListBullet"/>
        <w:spacing w:after="60"/>
        <w:ind w:left="360" w:hanging="230"/>
      </w:pPr>
      <w:r>
        <w:t>Where is AI involved?</w:t>
      </w:r>
    </w:p>
    <w:p>
      <w:pPr>
        <w:pStyle w:val="ListBullet"/>
        <w:spacing w:after="60"/>
        <w:ind w:left="360" w:hanging="230"/>
      </w:pPr>
      <w:r>
        <w:t>How are agent results aggregated?</w:t>
      </w:r>
    </w:p>
    <w:p>
      <w:pPr>
        <w:pStyle w:val="ListBullet"/>
        <w:spacing w:after="60"/>
        <w:ind w:left="360" w:hanging="230"/>
      </w:pPr>
      <w:r>
        <w:t>What happens when AI fails?</w:t>
      </w:r>
    </w:p>
    <w:p>
      <w:pPr>
        <w:pStyle w:val="ListBullet"/>
        <w:spacing w:after="60"/>
        <w:ind w:left="360" w:hanging="230"/>
      </w:pPr>
      <w:r>
        <w:t>How is human authority preserved?</w:t>
      </w:r>
    </w:p>
    <w:p>
      <w:pPr>
        <w:pStyle w:val="ListBullet"/>
        <w:spacing w:after="60"/>
        <w:ind w:left="360" w:hanging="230"/>
      </w:pPr>
      <w:r>
        <w:t>What Azure resources exist?</w:t>
      </w:r>
    </w:p>
    <w:p>
      <w:pPr>
        <w:pStyle w:val="ListBullet"/>
        <w:spacing w:after="60"/>
        <w:ind w:left="360" w:hanging="230"/>
      </w:pPr>
      <w:r>
        <w:t>What remains to be deployed?</w:t>
      </w:r>
    </w:p>
    <w:p>
      <w:pPr>
        <w:pStyle w:val="ListBullet"/>
        <w:spacing w:after="60"/>
        <w:ind w:left="360" w:hanging="230"/>
      </w:pPr>
      <w:r>
        <w:t>How will customer data remain in the customer environment?</w:t>
      </w:r>
    </w:p>
    <w:p>
      <w:pPr>
        <w:pStyle w:val="ListBullet"/>
        <w:spacing w:after="60"/>
        <w:ind w:left="360" w:hanging="230"/>
      </w:pPr>
      <w:r>
        <w:t>How will identity work?</w:t>
      </w:r>
    </w:p>
    <w:p>
      <w:pPr>
        <w:pStyle w:val="ListBullet"/>
        <w:spacing w:after="60"/>
        <w:ind w:left="360" w:hanging="230"/>
      </w:pPr>
      <w:r>
        <w:t>How will private connectivity work?</w:t>
      </w:r>
    </w:p>
    <w:p>
      <w:pPr>
        <w:pStyle w:val="ListBullet"/>
        <w:spacing w:after="60"/>
        <w:ind w:left="360" w:hanging="230"/>
      </w:pPr>
      <w:r>
        <w:t>What evidence is retained?</w:t>
      </w:r>
    </w:p>
    <w:p>
      <w:pPr>
        <w:pStyle w:val="ListBullet"/>
        <w:spacing w:after="60"/>
        <w:ind w:left="360" w:hanging="230"/>
      </w:pPr>
      <w:r>
        <w:t>How is infrastructure validated?</w:t>
      </w:r>
    </w:p>
    <w:p>
      <w:pPr>
        <w:pStyle w:val="ListBullet"/>
        <w:spacing w:after="60"/>
        <w:ind w:left="360" w:hanging="230"/>
      </w:pPr>
      <w:r>
        <w:t>What remains before production?</w:t>
      </w:r>
    </w:p>
    <w:p>
      <w:pPr>
        <w:pStyle w:val="Heading2"/>
      </w:pPr>
      <w:r>
        <w:t>14.29 Commercial Diligence</w:t>
      </w:r>
    </w:p>
    <w:p>
      <w:r>
        <w:t>Commercial diligence should eventually answer:</w:t>
      </w:r>
    </w:p>
    <w:p>
      <w:pPr>
        <w:pStyle w:val="ListBullet"/>
        <w:spacing w:after="60"/>
        <w:ind w:left="360" w:hanging="230"/>
      </w:pPr>
      <w:r>
        <w:t>Who buys DRE?</w:t>
      </w:r>
    </w:p>
    <w:p>
      <w:pPr>
        <w:pStyle w:val="ListBullet"/>
        <w:spacing w:after="60"/>
        <w:ind w:left="360" w:hanging="230"/>
      </w:pPr>
      <w:r>
        <w:t>What problem triggers purchase?</w:t>
      </w:r>
    </w:p>
    <w:p>
      <w:pPr>
        <w:pStyle w:val="ListBullet"/>
        <w:spacing w:after="60"/>
        <w:ind w:left="360" w:hanging="230"/>
      </w:pPr>
      <w:r>
        <w:t>What does the customer use today?</w:t>
      </w:r>
    </w:p>
    <w:p>
      <w:pPr>
        <w:pStyle w:val="ListBullet"/>
        <w:spacing w:after="60"/>
        <w:ind w:left="360" w:hanging="230"/>
      </w:pPr>
      <w:r>
        <w:t>Why would they add DRE?</w:t>
      </w:r>
    </w:p>
    <w:p>
      <w:pPr>
        <w:pStyle w:val="ListBullet"/>
        <w:spacing w:after="60"/>
        <w:ind w:left="360" w:hanging="230"/>
      </w:pPr>
      <w:r>
        <w:t>How difficult is deployment?</w:t>
      </w:r>
    </w:p>
    <w:p>
      <w:pPr>
        <w:pStyle w:val="ListBullet"/>
        <w:spacing w:after="60"/>
        <w:ind w:left="360" w:hanging="230"/>
      </w:pPr>
      <w:r>
        <w:t>How is DRE priced?</w:t>
      </w:r>
    </w:p>
    <w:p>
      <w:pPr>
        <w:pStyle w:val="ListBullet"/>
        <w:spacing w:after="60"/>
        <w:ind w:left="360" w:hanging="230"/>
      </w:pPr>
      <w:r>
        <w:t>How long is the sales cycle?</w:t>
      </w:r>
    </w:p>
    <w:p>
      <w:pPr>
        <w:pStyle w:val="ListBullet"/>
        <w:spacing w:after="60"/>
        <w:ind w:left="360" w:hanging="230"/>
      </w:pPr>
      <w:r>
        <w:t>What evidence exists of willingness to pay?</w:t>
      </w:r>
    </w:p>
    <w:p>
      <w:pPr>
        <w:pStyle w:val="ListBullet"/>
        <w:spacing w:after="60"/>
        <w:ind w:left="360" w:hanging="230"/>
      </w:pPr>
      <w:r>
        <w:t>What is the expansion path?</w:t>
      </w:r>
    </w:p>
    <w:p>
      <w:pPr>
        <w:pStyle w:val="ListBullet"/>
        <w:spacing w:after="60"/>
        <w:ind w:left="360" w:hanging="230"/>
      </w:pPr>
      <w:r>
        <w:t>What creates recurring revenue?</w:t>
      </w:r>
    </w:p>
    <w:p>
      <w:pPr>
        <w:pStyle w:val="ListBullet"/>
        <w:spacing w:after="60"/>
        <w:ind w:left="360" w:hanging="230"/>
      </w:pPr>
      <w:r>
        <w:t>What prevents incumbent vendors from replicating the capability?</w:t>
      </w:r>
    </w:p>
    <w:p>
      <w:pPr>
        <w:pStyle w:val="ListBullet"/>
        <w:spacing w:after="60"/>
        <w:ind w:left="360" w:hanging="230"/>
      </w:pPr>
      <w:r>
        <w:t>What does customer acquisition require?</w:t>
      </w:r>
    </w:p>
    <w:p>
      <w:pPr>
        <w:pStyle w:val="Heading2"/>
      </w:pPr>
      <w:r>
        <w:t>14.30 Intellectual-Property Diligence</w:t>
      </w:r>
    </w:p>
    <w:p>
      <w:r>
        <w:t>Investors will need confidence that Engineered Launch owns or has appropriate rights to the product being financed.</w:t>
      </w:r>
    </w:p>
    <w:p>
      <w:pPr>
        <w:pStyle w:val="ListBullet"/>
        <w:spacing w:after="60"/>
        <w:ind w:left="360" w:hanging="230"/>
      </w:pPr>
      <w:r>
        <w:t>DRE source-code ownership</w:t>
      </w:r>
    </w:p>
    <w:p>
      <w:pPr>
        <w:pStyle w:val="ListBullet"/>
        <w:spacing w:after="60"/>
        <w:ind w:left="360" w:hanging="230"/>
      </w:pPr>
      <w:r>
        <w:t>Product-document ownership</w:t>
      </w:r>
    </w:p>
    <w:p>
      <w:pPr>
        <w:pStyle w:val="ListBullet"/>
        <w:spacing w:after="60"/>
        <w:ind w:left="360" w:hanging="230"/>
      </w:pPr>
      <w:r>
        <w:t>Domain ownership</w:t>
      </w:r>
    </w:p>
    <w:p>
      <w:pPr>
        <w:pStyle w:val="ListBullet"/>
        <w:spacing w:after="60"/>
        <w:ind w:left="360" w:hanging="230"/>
      </w:pPr>
      <w:r>
        <w:t>Brand/name status</w:t>
      </w:r>
    </w:p>
    <w:p>
      <w:pPr>
        <w:pStyle w:val="ListBullet"/>
        <w:spacing w:after="60"/>
        <w:ind w:left="360" w:hanging="230"/>
      </w:pPr>
      <w:r>
        <w:t>Third-party dependencies</w:t>
      </w:r>
    </w:p>
    <w:p>
      <w:pPr>
        <w:pStyle w:val="ListBullet"/>
        <w:spacing w:after="60"/>
        <w:ind w:left="360" w:hanging="230"/>
      </w:pPr>
      <w:r>
        <w:t>AI/model dependencies</w:t>
      </w:r>
    </w:p>
    <w:p>
      <w:pPr>
        <w:pStyle w:val="ListBullet"/>
        <w:spacing w:after="60"/>
        <w:ind w:left="360" w:hanging="230"/>
      </w:pPr>
      <w:r>
        <w:t>Open-source dependencies</w:t>
      </w:r>
    </w:p>
    <w:p>
      <w:pPr>
        <w:pStyle w:val="ListBullet"/>
        <w:spacing w:after="60"/>
        <w:ind w:left="360" w:hanging="230"/>
      </w:pPr>
      <w:r>
        <w:t>Contractor contributions if any</w:t>
      </w:r>
    </w:p>
    <w:p>
      <w:pPr>
        <w:pStyle w:val="ListBullet"/>
        <w:spacing w:after="60"/>
        <w:ind w:left="360" w:hanging="230"/>
      </w:pPr>
      <w:r>
        <w:t>Customer-specific configuration rights</w:t>
      </w:r>
    </w:p>
    <w:p>
      <w:pPr>
        <w:pStyle w:val="ListBullet"/>
        <w:spacing w:after="60"/>
        <w:ind w:left="360" w:hanging="230"/>
      </w:pPr>
      <w:r>
        <w:t>Future licensing structure</w:t>
      </w:r>
    </w:p>
    <w:p>
      <w:pPr>
        <w:pStyle w:val="Heading2"/>
      </w:pPr>
      <w:r>
        <w:t>14.31 Risk Disclosure</w:t>
      </w:r>
    </w:p>
    <w:p>
      <w:r>
        <w:t>Credible investor materials should identify meaningful risks rather than implying that every major uncertainty has already been eliminated.</w:t>
      </w:r>
    </w:p>
    <w:p>
      <w:pPr>
        <w:pStyle w:val="ListBullet"/>
        <w:spacing w:after="60"/>
        <w:ind w:left="360" w:hanging="230"/>
      </w:pPr>
      <w:r>
        <w:t>Enterprise hardening still required</w:t>
      </w:r>
    </w:p>
    <w:p>
      <w:pPr>
        <w:pStyle w:val="ListBullet"/>
        <w:spacing w:after="60"/>
        <w:ind w:left="360" w:hanging="230"/>
      </w:pPr>
      <w:r>
        <w:t>Customer validation still developing</w:t>
      </w:r>
    </w:p>
    <w:p>
      <w:pPr>
        <w:pStyle w:val="ListBullet"/>
        <w:spacing w:after="60"/>
        <w:ind w:left="360" w:hanging="230"/>
      </w:pPr>
      <w:r>
        <w:t>Final pricing not established</w:t>
      </w:r>
    </w:p>
    <w:p>
      <w:pPr>
        <w:pStyle w:val="ListBullet"/>
        <w:spacing w:after="60"/>
        <w:ind w:left="360" w:hanging="230"/>
      </w:pPr>
      <w:r>
        <w:t>Consensus architecture still evolving</w:t>
      </w:r>
    </w:p>
    <w:p>
      <w:pPr>
        <w:pStyle w:val="ListBullet"/>
        <w:spacing w:after="60"/>
        <w:ind w:left="360" w:hanging="230"/>
      </w:pPr>
      <w:r>
        <w:t>Azure production architecture incomplete</w:t>
      </w:r>
    </w:p>
    <w:p>
      <w:pPr>
        <w:pStyle w:val="ListBullet"/>
        <w:spacing w:after="60"/>
        <w:ind w:left="360" w:hanging="230"/>
      </w:pPr>
      <w:r>
        <w:t>OCG variability</w:t>
      </w:r>
    </w:p>
    <w:p>
      <w:pPr>
        <w:pStyle w:val="ListBullet"/>
        <w:spacing w:after="60"/>
        <w:ind w:left="360" w:hanging="230"/>
      </w:pPr>
      <w:r>
        <w:t>Enterprise procurement/security requirements</w:t>
      </w:r>
    </w:p>
    <w:p>
      <w:pPr>
        <w:pStyle w:val="ListBullet"/>
        <w:spacing w:after="60"/>
        <w:ind w:left="360" w:hanging="230"/>
      </w:pPr>
      <w:r>
        <w:t>Competitive response</w:t>
      </w:r>
    </w:p>
    <w:p>
      <w:pPr>
        <w:pStyle w:val="ListBullet"/>
        <w:spacing w:after="60"/>
        <w:ind w:left="360" w:hanging="230"/>
      </w:pPr>
      <w:r>
        <w:t>Customer adoption</w:t>
      </w:r>
    </w:p>
    <w:p>
      <w:pPr>
        <w:pStyle w:val="ListBullet"/>
        <w:spacing w:after="60"/>
        <w:ind w:left="360" w:hanging="230"/>
      </w:pPr>
      <w:r>
        <w:t>Founder bandwidth and company resources</w:t>
      </w:r>
    </w:p>
    <w:p>
      <w:pPr>
        <w:pStyle w:val="Heading2"/>
      </w:pPr>
      <w:r>
        <w:t>14.32 Application Efficiency</w:t>
      </w:r>
    </w:p>
    <w:p>
      <w:r>
        <w:t>Because many investor applications request overlapping information, DRE should maintain reusable source material rather than writing the company story from scratch thirty times.</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OPERATING MODEL</w:t>
              <w:br/>
            </w:r>
            <w:r>
              <w:t>Canonical company/product facts → reusable application assets → target-specific adaptation.</w:t>
            </w:r>
          </w:p>
        </w:tc>
      </w:tr>
    </w:tbl>
    <w:p/>
    <w:p>
      <w:pPr>
        <w:pStyle w:val="Heading2"/>
      </w:pPr>
      <w:r>
        <w:t>14.33 Investor Outreach Sequence</w:t>
      </w:r>
    </w:p>
    <w:p>
      <w:r>
        <w:t>The investor sequence can run in parallel with customer and product development:</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INVESTOR SEQUENCE</w:t>
              <w:br/>
            </w:r>
            <w:r>
              <w:t>Working demo → core investor assets → highest-fit applications/outreach → continued customer evidence → investor conversations → deeper diligence → commercial evidence → follow-up.</w:t>
            </w:r>
          </w:p>
        </w:tc>
      </w:tr>
    </w:tbl>
    <w:p/>
    <w:p>
      <w:pPr>
        <w:pStyle w:val="Heading2"/>
      </w:pPr>
      <w:r>
        <w:t>14.34 Investor Update Strategy</w:t>
      </w:r>
    </w:p>
    <w:p>
      <w:r>
        <w:t>Investors who express interest but are not ready to act immediately can become part of a structured update path.</w:t>
      </w:r>
    </w:p>
    <w:p>
      <w:pPr>
        <w:pStyle w:val="ListBullet"/>
        <w:spacing w:after="60"/>
        <w:ind w:left="360" w:hanging="230"/>
      </w:pPr>
      <w:r>
        <w:t>Demo launched</w:t>
      </w:r>
    </w:p>
    <w:p>
      <w:pPr>
        <w:pStyle w:val="ListBullet"/>
        <w:spacing w:after="60"/>
        <w:ind w:left="360" w:hanging="230"/>
      </w:pPr>
      <w:r>
        <w:t>First external users</w:t>
      </w:r>
    </w:p>
    <w:p>
      <w:pPr>
        <w:pStyle w:val="ListBullet"/>
        <w:spacing w:after="60"/>
        <w:ind w:left="360" w:hanging="230"/>
      </w:pPr>
      <w:r>
        <w:t>Significant product feedback</w:t>
      </w:r>
    </w:p>
    <w:p>
      <w:pPr>
        <w:pStyle w:val="ListBullet"/>
        <w:spacing w:after="60"/>
        <w:ind w:left="360" w:hanging="230"/>
      </w:pPr>
      <w:r>
        <w:t>Design partner</w:t>
      </w:r>
    </w:p>
    <w:p>
      <w:pPr>
        <w:pStyle w:val="ListBullet"/>
        <w:spacing w:after="60"/>
        <w:ind w:left="360" w:hanging="230"/>
      </w:pPr>
      <w:r>
        <w:t>First commercial customer</w:t>
      </w:r>
    </w:p>
    <w:p>
      <w:pPr>
        <w:pStyle w:val="ListBullet"/>
        <w:spacing w:after="60"/>
        <w:ind w:left="360" w:hanging="230"/>
      </w:pPr>
      <w:r>
        <w:t>Azure deployment milestone</w:t>
      </w:r>
    </w:p>
    <w:p>
      <w:pPr>
        <w:pStyle w:val="ListBullet"/>
        <w:spacing w:after="60"/>
        <w:ind w:left="360" w:hanging="230"/>
      </w:pPr>
      <w:r>
        <w:t>Microsoft milestone</w:t>
      </w:r>
    </w:p>
    <w:p>
      <w:pPr>
        <w:pStyle w:val="ListBullet"/>
        <w:spacing w:after="60"/>
        <w:ind w:left="360" w:hanging="230"/>
      </w:pPr>
      <w:r>
        <w:t>New enterprise control completed</w:t>
      </w:r>
    </w:p>
    <w:p>
      <w:pPr>
        <w:pStyle w:val="ListBullet"/>
        <w:spacing w:after="60"/>
        <w:ind w:left="360" w:hanging="230"/>
      </w:pPr>
      <w:r>
        <w:t>Marketplace milestone</w:t>
      </w:r>
    </w:p>
    <w:p>
      <w:pPr>
        <w:pStyle w:val="ListBullet"/>
        <w:spacing w:after="60"/>
        <w:ind w:left="360" w:hanging="230"/>
      </w:pPr>
      <w:r>
        <w:t>Measured customer result</w:t>
      </w:r>
    </w:p>
    <w:p>
      <w:pPr>
        <w:pStyle w:val="Heading2"/>
      </w:pPr>
      <w:r>
        <w:t>14.35 Strategic Investor Principle</w:t>
      </w:r>
    </w:p>
    <w:p>
      <w:r>
        <w:t>The best investor for DRE is not necessarily the investor offering the fastest check.</w:t>
      </w:r>
    </w:p>
    <w:p>
      <w:pPr>
        <w:pStyle w:val="ListBullet"/>
        <w:spacing w:after="60"/>
        <w:ind w:left="360" w:hanging="230"/>
      </w:pPr>
      <w:r>
        <w:t>Customer access</w:t>
      </w:r>
    </w:p>
    <w:p>
      <w:pPr>
        <w:pStyle w:val="ListBullet"/>
        <w:spacing w:after="60"/>
        <w:ind w:left="360" w:hanging="230"/>
      </w:pPr>
      <w:r>
        <w:t>Legal-industry credibility</w:t>
      </w:r>
    </w:p>
    <w:p>
      <w:pPr>
        <w:pStyle w:val="ListBullet"/>
        <w:spacing w:after="60"/>
        <w:ind w:left="360" w:hanging="230"/>
      </w:pPr>
      <w:r>
        <w:t>Product validation</w:t>
      </w:r>
    </w:p>
    <w:p>
      <w:pPr>
        <w:pStyle w:val="ListBullet"/>
        <w:spacing w:after="60"/>
        <w:ind w:left="360" w:hanging="230"/>
      </w:pPr>
      <w:r>
        <w:t>Enterprise sales</w:t>
      </w:r>
    </w:p>
    <w:p>
      <w:pPr>
        <w:pStyle w:val="ListBullet"/>
        <w:spacing w:after="60"/>
        <w:ind w:left="360" w:hanging="230"/>
      </w:pPr>
      <w:r>
        <w:t>Microsoft relationships</w:t>
      </w:r>
    </w:p>
    <w:p>
      <w:pPr>
        <w:pStyle w:val="ListBullet"/>
        <w:spacing w:after="60"/>
        <w:ind w:left="360" w:hanging="230"/>
      </w:pPr>
      <w:r>
        <w:t>Recruiting</w:t>
      </w:r>
    </w:p>
    <w:p>
      <w:pPr>
        <w:pStyle w:val="ListBullet"/>
        <w:spacing w:after="60"/>
        <w:ind w:left="360" w:hanging="230"/>
      </w:pPr>
      <w:r>
        <w:t>Subsequent fundraising</w:t>
      </w:r>
    </w:p>
    <w:p>
      <w:pPr>
        <w:pStyle w:val="ListBullet"/>
        <w:spacing w:after="60"/>
        <w:ind w:left="360" w:hanging="230"/>
      </w:pPr>
      <w:r>
        <w:t>Commercial strategy</w:t>
      </w:r>
    </w:p>
    <w:p>
      <w:pPr>
        <w:pStyle w:val="Heading2"/>
      </w:pPr>
      <w:r>
        <w:t>14.36 Investor Strategy Principle</w:t>
      </w:r>
    </w:p>
    <w:p>
      <w:r>
        <w:t>The investor strategy can be summarized as:</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INVESTOR STRATEGY</w:t>
              <w:br/>
            </w:r>
            <w:r>
              <w:t>Do not ask investors to finance an abstraction when DRE can increasingly show them the product. Show the architecture. Show the code-backed workflow. Show the working demo. Show the Azure direction. Show what is implemented. Show what remains. Show real evaluators. Show customer evidence as it develops. Show a focused commercial path. Show exactly what additional capital changes.</w:t>
            </w:r>
          </w:p>
        </w:tc>
      </w:tr>
    </w:tbl>
    <w:p/>
    <w:p>
      <w:r>
        <w:t>And pursue investors who can contribute not only money, but direct leverage into the corporate legal market DRE was built to serve.</w:t>
      </w:r>
    </w:p>
    <w:p>
      <w:r>
        <w:br w:type="page"/>
      </w:r>
    </w:p>
    <w:p>
      <w:pPr>
        <w:pStyle w:val="Heading1"/>
      </w:pPr>
      <w:r>
        <w:t>15. Intellectual Property &amp; Company Structure</w:t>
      </w:r>
    </w:p>
    <w:p>
      <w:r>
        <w:t>DRE’s intellectual-property and company structure should establish a clear answer to a basic diligence question:</w:t>
      </w:r>
    </w:p>
    <w:p>
      <w:r>
        <w:t>What is the product, who owns it, and what exactly can Engineered Launch sell, license, deploy, improve, and finance?</w:t>
      </w:r>
    </w:p>
    <w:p>
      <w:r>
        <w:t>The current operating position is:</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COMPANY / PRODUCT OWNER</w:t>
            </w:r>
          </w:p>
        </w:tc>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PRODUCT</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6"/>
              </w:rPr>
              <w:t>Engineered Launch</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6"/>
              </w:rPr>
              <w:t>DRE / Dr. E — Deterministic Review Engine</w:t>
            </w:r>
          </w:p>
        </w:tc>
      </w:tr>
    </w:tbl>
    <w:p/>
    <w:p>
      <w:r>
        <w:t>DRE is being developed as a repeatable software product belonging to Engineered Launch rather than as customer-owned work product or a collection of unrelated consulting deliverables.</w:t>
      </w:r>
    </w:p>
    <w:p>
      <w:r>
        <w:t>That ownership structure needs to remain consistent across source code, documentation, domains, branding, commercial agreements, Microsoft relationships, customer deployments, and investor materials.</w:t>
      </w:r>
    </w:p>
    <w:p>
      <w:pPr>
        <w:pStyle w:val="Heading2"/>
      </w:pPr>
      <w:r>
        <w:t>15.1 Engineered Launch Ownership</w:t>
      </w:r>
    </w:p>
    <w:p>
      <w:r>
        <w:t>Engineered Launch is the company under which DRE is being developed and commercialized.</w:t>
      </w:r>
    </w:p>
    <w:p>
      <w:pPr>
        <w:pStyle w:val="ListBullet"/>
        <w:spacing w:after="60"/>
        <w:ind w:left="360" w:hanging="230"/>
      </w:pPr>
      <w:r>
        <w:t>Software source code</w:t>
      </w:r>
    </w:p>
    <w:p>
      <w:pPr>
        <w:pStyle w:val="ListBullet"/>
        <w:spacing w:after="60"/>
        <w:ind w:left="360" w:hanging="230"/>
      </w:pPr>
      <w:r>
        <w:t>Deterministic processing logic</w:t>
      </w:r>
    </w:p>
    <w:p>
      <w:pPr>
        <w:pStyle w:val="ListBullet"/>
        <w:spacing w:after="60"/>
        <w:ind w:left="360" w:hanging="230"/>
      </w:pPr>
      <w:r>
        <w:t>Transaction orchestration</w:t>
      </w:r>
    </w:p>
    <w:p>
      <w:pPr>
        <w:pStyle w:val="ListBullet"/>
        <w:spacing w:after="60"/>
        <w:ind w:left="360" w:hanging="230"/>
      </w:pPr>
      <w:r>
        <w:t>Consensus architecture</w:t>
      </w:r>
    </w:p>
    <w:p>
      <w:pPr>
        <w:pStyle w:val="ListBullet"/>
        <w:spacing w:after="60"/>
        <w:ind w:left="360" w:hanging="230"/>
      </w:pPr>
      <w:r>
        <w:t>Agent-role definitions</w:t>
      </w:r>
    </w:p>
    <w:p>
      <w:pPr>
        <w:pStyle w:val="ListBullet"/>
        <w:spacing w:after="60"/>
        <w:ind w:left="360" w:hanging="230"/>
      </w:pPr>
      <w:r>
        <w:t>Referee logic</w:t>
      </w:r>
    </w:p>
    <w:p>
      <w:pPr>
        <w:pStyle w:val="ListBullet"/>
        <w:spacing w:after="60"/>
        <w:ind w:left="360" w:hanging="230"/>
      </w:pPr>
      <w:r>
        <w:t>Infrastructure definitions</w:t>
      </w:r>
    </w:p>
    <w:p>
      <w:pPr>
        <w:pStyle w:val="ListBullet"/>
        <w:spacing w:after="60"/>
        <w:ind w:left="360" w:hanging="230"/>
      </w:pPr>
      <w:r>
        <w:t>Validation systems</w:t>
      </w:r>
    </w:p>
    <w:p>
      <w:pPr>
        <w:pStyle w:val="ListBullet"/>
        <w:spacing w:after="60"/>
        <w:ind w:left="360" w:hanging="230"/>
      </w:pPr>
      <w:r>
        <w:t>Data structures</w:t>
      </w:r>
    </w:p>
    <w:p>
      <w:pPr>
        <w:pStyle w:val="ListBullet"/>
        <w:spacing w:after="60"/>
        <w:ind w:left="360" w:hanging="230"/>
      </w:pPr>
      <w:r>
        <w:t>Product documentation</w:t>
      </w:r>
    </w:p>
    <w:p>
      <w:pPr>
        <w:pStyle w:val="ListBullet"/>
        <w:spacing w:after="60"/>
        <w:ind w:left="360" w:hanging="230"/>
      </w:pPr>
      <w:r>
        <w:t>Technical diagrams</w:t>
      </w:r>
    </w:p>
    <w:p>
      <w:pPr>
        <w:pStyle w:val="ListBullet"/>
        <w:spacing w:after="60"/>
        <w:ind w:left="360" w:hanging="230"/>
      </w:pPr>
      <w:r>
        <w:t>Demonstration software</w:t>
      </w:r>
    </w:p>
    <w:p>
      <w:pPr>
        <w:pStyle w:val="ListBullet"/>
        <w:spacing w:after="60"/>
        <w:ind w:left="360" w:hanging="230"/>
      </w:pPr>
      <w:r>
        <w:t>Website material</w:t>
      </w:r>
    </w:p>
    <w:p>
      <w:pPr>
        <w:pStyle w:val="ListBullet"/>
        <w:spacing w:after="60"/>
        <w:ind w:left="360" w:hanging="230"/>
      </w:pPr>
      <w:r>
        <w:t>Commercial materials</w:t>
      </w:r>
    </w:p>
    <w:p>
      <w:pPr>
        <w:pStyle w:val="ListBullet"/>
        <w:spacing w:after="60"/>
        <w:ind w:left="360" w:hanging="230"/>
      </w:pPr>
      <w:r>
        <w:t>Product research</w:t>
      </w:r>
    </w:p>
    <w:p>
      <w:pPr>
        <w:pStyle w:val="ListBullet"/>
        <w:spacing w:after="60"/>
        <w:ind w:left="360" w:hanging="230"/>
      </w:pPr>
      <w:r>
        <w:t>Product-development methodology</w:t>
      </w:r>
    </w:p>
    <w:p>
      <w:pPr>
        <w:pStyle w:val="Heading2"/>
      </w:pPr>
      <w:r>
        <w:t>15.2 DRE Product Ownership</w:t>
      </w:r>
    </w:p>
    <w:p>
      <w:r>
        <w:t>DRE should remain identifiable as an Engineered Launch product.</w:t>
      </w:r>
    </w:p>
    <w:p>
      <w:r>
        <w:t>Customer deployment into a customer’s Azure environment should not, by itself, change ownership of the underlying DRE software.</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DRE PRODUCT</w:t>
            </w:r>
          </w:p>
        </w:tc>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CUSTOMER DEPLOYMENT AND USE</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6"/>
              </w:rPr>
              <w:t>Reusable Engineered Launch software product</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6"/>
              </w:rPr>
              <w:t>Deployment and use rights governed by the commercial relationship.</w:t>
            </w:r>
          </w:p>
        </w:tc>
      </w:tr>
    </w:tbl>
    <w:p/>
    <w:p>
      <w:r>
        <w:t>Infrastructure location and software ownership are separate questions.</w:t>
      </w:r>
    </w:p>
    <w:p>
      <w:pPr>
        <w:pStyle w:val="Heading2"/>
      </w:pPr>
      <w:r>
        <w:t>15.3 Customer-Owned Azure vs. Engineered Launch IP</w:t>
      </w:r>
    </w:p>
    <w:p>
      <w:r>
        <w:t>The intended deployment model creates two forms of control that should not be confused.</w:t>
      </w:r>
    </w:p>
    <w:p>
      <w:pPr>
        <w:pStyle w:val="ListBullet"/>
        <w:spacing w:after="60"/>
        <w:ind w:left="360" w:hanging="230"/>
      </w:pPr>
      <w:r>
        <w:t>Azure subscription</w:t>
      </w:r>
    </w:p>
    <w:p>
      <w:pPr>
        <w:pStyle w:val="ListBullet"/>
        <w:spacing w:after="60"/>
        <w:ind w:left="360" w:hanging="230"/>
      </w:pPr>
      <w:r>
        <w:t>Customer data</w:t>
      </w:r>
    </w:p>
    <w:p>
      <w:pPr>
        <w:pStyle w:val="ListBullet"/>
        <w:spacing w:after="60"/>
        <w:ind w:left="360" w:hanging="230"/>
      </w:pPr>
      <w:r>
        <w:t>Customer identities</w:t>
      </w:r>
    </w:p>
    <w:p>
      <w:pPr>
        <w:pStyle w:val="ListBullet"/>
        <w:spacing w:after="60"/>
        <w:ind w:left="360" w:hanging="230"/>
      </w:pPr>
      <w:r>
        <w:t>Customer network</w:t>
      </w:r>
    </w:p>
    <w:p>
      <w:pPr>
        <w:pStyle w:val="ListBullet"/>
        <w:spacing w:after="60"/>
        <w:ind w:left="360" w:hanging="230"/>
      </w:pPr>
      <w:r>
        <w:t>Customer security policy</w:t>
      </w:r>
    </w:p>
    <w:p>
      <w:pPr>
        <w:pStyle w:val="ListBullet"/>
        <w:spacing w:after="60"/>
        <w:ind w:left="360" w:hanging="230"/>
      </w:pPr>
      <w:r>
        <w:t>Customer-specific OCGs</w:t>
      </w:r>
    </w:p>
    <w:p>
      <w:pPr>
        <w:pStyle w:val="ListBullet"/>
        <w:spacing w:after="60"/>
        <w:ind w:left="360" w:hanging="230"/>
      </w:pPr>
      <w:r>
        <w:t>Customer-specific configuration</w:t>
      </w:r>
    </w:p>
    <w:p>
      <w:pPr>
        <w:pStyle w:val="ListBullet"/>
        <w:spacing w:after="60"/>
        <w:ind w:left="360" w:hanging="230"/>
      </w:pPr>
      <w:r>
        <w:t>Human-review authority</w:t>
      </w:r>
    </w:p>
    <w:p>
      <w:r>
        <w:t>The customer controls its Azure environment.</w:t>
      </w:r>
    </w:p>
    <w:p>
      <w:r>
        <w:t>Engineered Launch retains ownership of its DRE intellectual property, subject to the final commercial and licensing agreements.</w:t>
      </w:r>
    </w:p>
    <w:p>
      <w:r>
        <w:t>That separation allows DRE to provide customer-controlled deployment without transferring the underlying product to each customer.</w:t>
      </w:r>
    </w:p>
    <w:p>
      <w:pPr>
        <w:pStyle w:val="Heading2"/>
      </w:pPr>
      <w:r>
        <w:t>15.4 Software Intellectual Property</w:t>
      </w:r>
    </w:p>
    <w:p>
      <w:r>
        <w:t>The DRE software-IP estate includes more than a single application file.</w:t>
      </w:r>
    </w:p>
    <w:p>
      <w:pPr>
        <w:pStyle w:val="ListBullet"/>
        <w:spacing w:after="60"/>
        <w:ind w:left="360" w:hanging="230"/>
      </w:pPr>
      <w:r>
        <w:t>Deterministic compliance engine</w:t>
      </w:r>
    </w:p>
    <w:p>
      <w:pPr>
        <w:pStyle w:val="ListBullet"/>
        <w:spacing w:after="60"/>
        <w:ind w:left="360" w:hanging="230"/>
      </w:pPr>
      <w:r>
        <w:t>Rule-processing architecture</w:t>
      </w:r>
    </w:p>
    <w:p>
      <w:pPr>
        <w:pStyle w:val="ListBullet"/>
        <w:spacing w:after="60"/>
        <w:ind w:left="360" w:hanging="230"/>
      </w:pPr>
      <w:r>
        <w:t>Transaction contracts</w:t>
      </w:r>
    </w:p>
    <w:p>
      <w:pPr>
        <w:pStyle w:val="ListBullet"/>
        <w:spacing w:after="60"/>
        <w:ind w:left="360" w:hanging="230"/>
      </w:pPr>
      <w:r>
        <w:t>Orchestration pipeline</w:t>
      </w:r>
    </w:p>
    <w:p>
      <w:pPr>
        <w:pStyle w:val="ListBullet"/>
        <w:spacing w:after="60"/>
        <w:ind w:left="360" w:hanging="230"/>
      </w:pPr>
      <w:r>
        <w:t>Early-exit logic</w:t>
      </w:r>
    </w:p>
    <w:p>
      <w:pPr>
        <w:pStyle w:val="ListBullet"/>
        <w:spacing w:after="60"/>
        <w:ind w:left="360" w:hanging="230"/>
      </w:pPr>
      <w:r>
        <w:t>Consensus wrapper</w:t>
      </w:r>
    </w:p>
    <w:p>
      <w:pPr>
        <w:pStyle w:val="ListBullet"/>
        <w:spacing w:after="60"/>
        <w:ind w:left="360" w:hanging="230"/>
      </w:pPr>
      <w:r>
        <w:t>Agent-role architecture</w:t>
      </w:r>
    </w:p>
    <w:p>
      <w:pPr>
        <w:pStyle w:val="ListBullet"/>
        <w:spacing w:after="60"/>
        <w:ind w:left="360" w:hanging="230"/>
      </w:pPr>
      <w:r>
        <w:t>Vote aggregation/referee logic</w:t>
      </w:r>
    </w:p>
    <w:p>
      <w:pPr>
        <w:pStyle w:val="ListBullet"/>
        <w:spacing w:after="60"/>
        <w:ind w:left="360" w:hanging="230"/>
      </w:pPr>
      <w:r>
        <w:t>Human-escalation architecture</w:t>
      </w:r>
    </w:p>
    <w:p>
      <w:pPr>
        <w:pStyle w:val="ListBullet"/>
        <w:spacing w:after="60"/>
        <w:ind w:left="360" w:hanging="230"/>
      </w:pPr>
      <w:r>
        <w:t>Financial-processing logic</w:t>
      </w:r>
    </w:p>
    <w:p>
      <w:pPr>
        <w:pStyle w:val="ListBullet"/>
        <w:spacing w:after="60"/>
        <w:ind w:left="360" w:hanging="230"/>
      </w:pPr>
      <w:r>
        <w:t>Audit-record structures</w:t>
      </w:r>
    </w:p>
    <w:p>
      <w:pPr>
        <w:pStyle w:val="ListBullet"/>
        <w:spacing w:after="60"/>
        <w:ind w:left="360" w:hanging="230"/>
      </w:pPr>
      <w:r>
        <w:t>Azure deployment definitions</w:t>
      </w:r>
    </w:p>
    <w:p>
      <w:pPr>
        <w:pStyle w:val="ListBullet"/>
        <w:spacing w:after="60"/>
        <w:ind w:left="360" w:hanging="230"/>
      </w:pPr>
      <w:r>
        <w:t>Infrastructure-validation tooling</w:t>
      </w:r>
    </w:p>
    <w:p>
      <w:pPr>
        <w:pStyle w:val="ListBullet"/>
        <w:spacing w:after="60"/>
        <w:ind w:left="360" w:hanging="230"/>
      </w:pPr>
      <w:r>
        <w:t>Demonstration software</w:t>
      </w:r>
    </w:p>
    <w:p>
      <w:pPr>
        <w:pStyle w:val="ListBullet"/>
        <w:spacing w:after="60"/>
        <w:ind w:left="360" w:hanging="230"/>
      </w:pPr>
      <w:r>
        <w:t>User interface</w:t>
      </w:r>
    </w:p>
    <w:p>
      <w:pPr>
        <w:pStyle w:val="ListBullet"/>
        <w:spacing w:after="60"/>
        <w:ind w:left="360" w:hanging="230"/>
      </w:pPr>
      <w:r>
        <w:t>Output-generation logic</w:t>
      </w:r>
    </w:p>
    <w:p>
      <w:pPr>
        <w:pStyle w:val="ListBullet"/>
        <w:spacing w:after="60"/>
        <w:ind w:left="360" w:hanging="230"/>
      </w:pPr>
      <w:r>
        <w:t>Future policy-management systems</w:t>
      </w:r>
    </w:p>
    <w:p>
      <w:pPr>
        <w:pStyle w:val="ListBullet"/>
        <w:spacing w:after="60"/>
        <w:ind w:left="360" w:hanging="230"/>
      </w:pPr>
      <w:r>
        <w:t>Future production deployment tooling</w:t>
      </w:r>
    </w:p>
    <w:p>
      <w:pPr>
        <w:pStyle w:val="Heading2"/>
      </w:pPr>
      <w:r>
        <w:t>15.5 Source-Code Ownership</w:t>
      </w:r>
    </w:p>
    <w:p>
      <w:r>
        <w:t>Source-code ownership should remain traceable.</w:t>
      </w:r>
    </w:p>
    <w:p>
      <w:pPr>
        <w:pStyle w:val="ListBullet"/>
        <w:spacing w:after="60"/>
        <w:ind w:left="360" w:hanging="230"/>
      </w:pPr>
      <w:r>
        <w:t>Where the source resides</w:t>
      </w:r>
    </w:p>
    <w:p>
      <w:pPr>
        <w:pStyle w:val="ListBullet"/>
        <w:spacing w:after="60"/>
        <w:ind w:left="360" w:hanging="230"/>
      </w:pPr>
      <w:r>
        <w:t>When it was created</w:t>
      </w:r>
    </w:p>
    <w:p>
      <w:pPr>
        <w:pStyle w:val="ListBullet"/>
        <w:spacing w:after="60"/>
        <w:ind w:left="360" w:hanging="230"/>
      </w:pPr>
      <w:r>
        <w:t>Who created or contributed to it</w:t>
      </w:r>
    </w:p>
    <w:p>
      <w:pPr>
        <w:pStyle w:val="ListBullet"/>
        <w:spacing w:after="60"/>
        <w:ind w:left="360" w:hanging="230"/>
      </w:pPr>
      <w:r>
        <w:t>Which third-party tools assisted development</w:t>
      </w:r>
    </w:p>
    <w:p>
      <w:pPr>
        <w:pStyle w:val="ListBullet"/>
        <w:spacing w:after="60"/>
        <w:ind w:left="360" w:hanging="230"/>
      </w:pPr>
      <w:r>
        <w:t>Which external libraries or dependencies it uses</w:t>
      </w:r>
    </w:p>
    <w:p>
      <w:pPr>
        <w:pStyle w:val="ListBullet"/>
        <w:spacing w:after="60"/>
        <w:ind w:left="360" w:hanging="230"/>
      </w:pPr>
      <w:r>
        <w:t>Which license governs those dependencies</w:t>
      </w:r>
    </w:p>
    <w:p>
      <w:pPr>
        <w:pStyle w:val="ListBullet"/>
        <w:spacing w:after="60"/>
        <w:ind w:left="360" w:hanging="230"/>
      </w:pPr>
      <w:r>
        <w:t>Whether any customer-specific code is included</w:t>
      </w:r>
    </w:p>
    <w:p>
      <w:pPr>
        <w:pStyle w:val="ListBullet"/>
        <w:spacing w:after="60"/>
        <w:ind w:left="360" w:hanging="230"/>
      </w:pPr>
      <w:r>
        <w:t>Whether any third party possesses ownership rights</w:t>
      </w:r>
    </w:p>
    <w:p>
      <w:pPr>
        <w:pStyle w:val="Heading2"/>
      </w:pPr>
      <w:r>
        <w:t>15.6 AI-Assisted Development</w:t>
      </w:r>
    </w:p>
    <w:p>
      <w:r>
        <w:t>DRE is being developed with extensive use of AI-assisted development tools.</w:t>
      </w:r>
    </w:p>
    <w:p>
      <w:pPr>
        <w:pStyle w:val="ListBullet"/>
        <w:spacing w:after="60"/>
        <w:ind w:left="360" w:hanging="230"/>
      </w:pPr>
      <w:r>
        <w:t>Which code is part of DRE?</w:t>
      </w:r>
    </w:p>
    <w:p>
      <w:pPr>
        <w:pStyle w:val="ListBullet"/>
        <w:spacing w:after="60"/>
        <w:ind w:left="360" w:hanging="230"/>
      </w:pPr>
      <w:r>
        <w:t>Which third-party packages are incorporated?</w:t>
      </w:r>
    </w:p>
    <w:p>
      <w:pPr>
        <w:pStyle w:val="ListBullet"/>
        <w:spacing w:after="60"/>
        <w:ind w:left="360" w:hanging="230"/>
      </w:pPr>
      <w:r>
        <w:t>What licenses apply?</w:t>
      </w:r>
    </w:p>
    <w:p>
      <w:pPr>
        <w:pStyle w:val="ListBullet"/>
        <w:spacing w:after="60"/>
        <w:ind w:left="360" w:hanging="230"/>
      </w:pPr>
      <w:r>
        <w:t>What external model or service dependencies exist?</w:t>
      </w:r>
    </w:p>
    <w:p>
      <w:pPr>
        <w:pStyle w:val="ListBullet"/>
        <w:spacing w:after="60"/>
        <w:ind w:left="360" w:hanging="230"/>
      </w:pPr>
      <w:r>
        <w:t>Was any restricted third-party source incorporated?</w:t>
      </w:r>
    </w:p>
    <w:p>
      <w:pPr>
        <w:pStyle w:val="ListBullet"/>
        <w:spacing w:after="60"/>
        <w:ind w:left="360" w:hanging="230"/>
      </w:pPr>
      <w:r>
        <w:t>Are there components Engineered Launch does not have the right to distribute?</w:t>
      </w:r>
    </w:p>
    <w:p>
      <w:pPr>
        <w:pStyle w:val="Heading2"/>
      </w:pPr>
      <w:r>
        <w:t>15.7 Third-Party Dependencies</w:t>
      </w:r>
    </w:p>
    <w:p>
      <w:r>
        <w:t>DRE will depend on technology Engineered Launch does not own.</w:t>
      </w:r>
    </w:p>
    <w:p>
      <w:pPr>
        <w:pStyle w:val="ListBullet"/>
        <w:spacing w:after="60"/>
        <w:ind w:left="360" w:hanging="230"/>
      </w:pPr>
      <w:r>
        <w:t>Microsoft Azure</w:t>
      </w:r>
    </w:p>
    <w:p>
      <w:pPr>
        <w:pStyle w:val="ListBullet"/>
        <w:spacing w:after="60"/>
        <w:ind w:left="360" w:hanging="230"/>
      </w:pPr>
      <w:r>
        <w:t>Azure OpenAI</w:t>
      </w:r>
    </w:p>
    <w:p>
      <w:pPr>
        <w:pStyle w:val="ListBullet"/>
        <w:spacing w:after="60"/>
        <w:ind w:left="360" w:hanging="230"/>
      </w:pPr>
      <w:r>
        <w:t>Azure Cosmos DB</w:t>
      </w:r>
    </w:p>
    <w:p>
      <w:pPr>
        <w:pStyle w:val="ListBullet"/>
        <w:spacing w:after="60"/>
        <w:ind w:left="360" w:hanging="230"/>
      </w:pPr>
      <w:r>
        <w:t>Azure Key Vault</w:t>
      </w:r>
    </w:p>
    <w:p>
      <w:pPr>
        <w:pStyle w:val="ListBullet"/>
        <w:spacing w:after="60"/>
        <w:ind w:left="360" w:hanging="230"/>
      </w:pPr>
      <w:r>
        <w:t>Microsoft Entra ID</w:t>
      </w:r>
    </w:p>
    <w:p>
      <w:pPr>
        <w:pStyle w:val="ListBullet"/>
        <w:spacing w:after="60"/>
        <w:ind w:left="360" w:hanging="230"/>
      </w:pPr>
      <w:r>
        <w:t>Azure networking services</w:t>
      </w:r>
    </w:p>
    <w:p>
      <w:pPr>
        <w:pStyle w:val="ListBullet"/>
        <w:spacing w:after="60"/>
        <w:ind w:left="360" w:hanging="230"/>
      </w:pPr>
      <w:r>
        <w:t>Azure monitoring services</w:t>
      </w:r>
    </w:p>
    <w:p>
      <w:pPr>
        <w:pStyle w:val="ListBullet"/>
        <w:spacing w:after="60"/>
        <w:ind w:left="360" w:hanging="230"/>
      </w:pPr>
      <w:r>
        <w:t>JavaScript/TypeScript libraries</w:t>
      </w:r>
    </w:p>
    <w:p>
      <w:pPr>
        <w:pStyle w:val="ListBullet"/>
        <w:spacing w:after="60"/>
        <w:ind w:left="360" w:hanging="230"/>
      </w:pPr>
      <w:r>
        <w:t>Other software packages incorporated into the product</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ENGINEERED LAUNCH IP</w:t>
            </w:r>
          </w:p>
        </w:tc>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LICENSED / EXTERNAL PLATFORM DEPENDENCIES</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6"/>
              </w:rPr>
              <w:t>Reusable DRE product architecture and software.</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6"/>
              </w:rPr>
              <w:t>Microsoft Azure services, open-source libraries, model/service dependencies, and other third-party technology.</w:t>
            </w:r>
          </w:p>
        </w:tc>
      </w:tr>
    </w:tbl>
    <w:p/>
    <w:p>
      <w:pPr>
        <w:pStyle w:val="Heading2"/>
      </w:pPr>
      <w:r>
        <w:t>15.8 Open-Source Dependency Governance</w:t>
      </w:r>
    </w:p>
    <w:p>
      <w:r>
        <w:t>As DRE develops, its open-source dependency inventory should become explicit.</w:t>
      </w:r>
    </w:p>
    <w:p>
      <w:pPr>
        <w:pStyle w:val="ListBullet"/>
        <w:spacing w:after="60"/>
        <w:ind w:left="360" w:hanging="230"/>
      </w:pPr>
      <w:r>
        <w:t>Package name</w:t>
      </w:r>
    </w:p>
    <w:p>
      <w:pPr>
        <w:pStyle w:val="ListBullet"/>
        <w:spacing w:after="60"/>
        <w:ind w:left="360" w:hanging="230"/>
      </w:pPr>
      <w:r>
        <w:t>Version</w:t>
      </w:r>
    </w:p>
    <w:p>
      <w:pPr>
        <w:pStyle w:val="ListBullet"/>
        <w:spacing w:after="60"/>
        <w:ind w:left="360" w:hanging="230"/>
      </w:pPr>
      <w:r>
        <w:t>License</w:t>
      </w:r>
    </w:p>
    <w:p>
      <w:pPr>
        <w:pStyle w:val="ListBullet"/>
        <w:spacing w:after="60"/>
        <w:ind w:left="360" w:hanging="230"/>
      </w:pPr>
      <w:r>
        <w:t>Purpose</w:t>
      </w:r>
    </w:p>
    <w:p>
      <w:pPr>
        <w:pStyle w:val="ListBullet"/>
        <w:spacing w:after="60"/>
        <w:ind w:left="360" w:hanging="230"/>
      </w:pPr>
      <w:r>
        <w:t>Whether it is distributed with DRE</w:t>
      </w:r>
    </w:p>
    <w:p>
      <w:pPr>
        <w:pStyle w:val="ListBullet"/>
        <w:spacing w:after="60"/>
        <w:ind w:left="360" w:hanging="230"/>
      </w:pPr>
      <w:r>
        <w:t>Whether modifications were made</w:t>
      </w:r>
    </w:p>
    <w:p>
      <w:pPr>
        <w:pStyle w:val="ListBullet"/>
        <w:spacing w:after="60"/>
        <w:ind w:left="360" w:hanging="230"/>
      </w:pPr>
      <w:r>
        <w:t>Applicable notice or attribution requirements</w:t>
      </w:r>
    </w:p>
    <w:p>
      <w:pPr>
        <w:pStyle w:val="ListBullet"/>
        <w:spacing w:after="60"/>
        <w:ind w:left="360" w:hanging="230"/>
      </w:pPr>
      <w:r>
        <w:t>Known security considerations</w:t>
      </w:r>
    </w:p>
    <w:p>
      <w:pPr>
        <w:pStyle w:val="Heading2"/>
      </w:pPr>
      <w:r>
        <w:t>15.9 Product Documentation Ownership</w:t>
      </w:r>
    </w:p>
    <w:p>
      <w:r>
        <w:t>DRE’s documentation is part of the company’s intellectual-property estate.</w:t>
      </w:r>
    </w:p>
    <w:p>
      <w:pPr>
        <w:pStyle w:val="ListBullet"/>
        <w:spacing w:after="60"/>
        <w:ind w:left="360" w:hanging="230"/>
      </w:pPr>
      <w:r>
        <w:t>Architecture documents</w:t>
      </w:r>
    </w:p>
    <w:p>
      <w:pPr>
        <w:pStyle w:val="ListBullet"/>
        <w:spacing w:after="60"/>
        <w:ind w:left="360" w:hanging="230"/>
      </w:pPr>
      <w:r>
        <w:t>Component guides</w:t>
      </w:r>
    </w:p>
    <w:p>
      <w:pPr>
        <w:pStyle w:val="ListBullet"/>
        <w:spacing w:after="60"/>
        <w:ind w:left="360" w:hanging="230"/>
      </w:pPr>
      <w:r>
        <w:t>Deployment guides</w:t>
      </w:r>
    </w:p>
    <w:p>
      <w:pPr>
        <w:pStyle w:val="ListBullet"/>
        <w:spacing w:after="60"/>
        <w:ind w:left="360" w:hanging="230"/>
      </w:pPr>
      <w:r>
        <w:t>Validation methodology</w:t>
      </w:r>
    </w:p>
    <w:p>
      <w:pPr>
        <w:pStyle w:val="ListBullet"/>
        <w:spacing w:after="60"/>
        <w:ind w:left="360" w:hanging="230"/>
      </w:pPr>
      <w:r>
        <w:t>Product specifications</w:t>
      </w:r>
    </w:p>
    <w:p>
      <w:pPr>
        <w:pStyle w:val="ListBullet"/>
        <w:spacing w:after="60"/>
        <w:ind w:left="360" w:hanging="230"/>
      </w:pPr>
      <w:r>
        <w:t>Diagrams</w:t>
      </w:r>
    </w:p>
    <w:p>
      <w:pPr>
        <w:pStyle w:val="ListBullet"/>
        <w:spacing w:after="60"/>
        <w:ind w:left="360" w:hanging="230"/>
      </w:pPr>
      <w:r>
        <w:t>Flowcharts</w:t>
      </w:r>
    </w:p>
    <w:p>
      <w:pPr>
        <w:pStyle w:val="ListBullet"/>
        <w:spacing w:after="60"/>
        <w:ind w:left="360" w:hanging="230"/>
      </w:pPr>
      <w:r>
        <w:t>Demonstration documentation</w:t>
      </w:r>
    </w:p>
    <w:p>
      <w:pPr>
        <w:pStyle w:val="ListBullet"/>
        <w:spacing w:after="60"/>
        <w:ind w:left="360" w:hanging="230"/>
      </w:pPr>
      <w:r>
        <w:t>Customer-facing technical documents</w:t>
      </w:r>
    </w:p>
    <w:p>
      <w:pPr>
        <w:pStyle w:val="ListBullet"/>
        <w:spacing w:after="60"/>
        <w:ind w:left="360" w:hanging="230"/>
      </w:pPr>
      <w:r>
        <w:t>Investor technical material</w:t>
      </w:r>
    </w:p>
    <w:p>
      <w:pPr>
        <w:pStyle w:val="ListBullet"/>
        <w:spacing w:after="60"/>
        <w:ind w:left="360" w:hanging="230"/>
      </w:pPr>
      <w:r>
        <w:t>Product research and synthesis</w:t>
      </w:r>
    </w:p>
    <w:p>
      <w:pPr>
        <w:pStyle w:val="Heading2"/>
      </w:pPr>
      <w:r>
        <w:t>15.10 Research and Product Knowledge</w:t>
      </w:r>
    </w:p>
    <w:p>
      <w:r>
        <w:t>The research developed around DRE also forms part of the company’s product knowledge base.</w:t>
      </w:r>
    </w:p>
    <w:p>
      <w:pPr>
        <w:pStyle w:val="ListBullet"/>
        <w:spacing w:after="60"/>
        <w:ind w:left="360" w:hanging="230"/>
      </w:pPr>
      <w:r>
        <w:t>Legal-billing workflow</w:t>
      </w:r>
    </w:p>
    <w:p>
      <w:pPr>
        <w:pStyle w:val="ListBullet"/>
        <w:spacing w:after="60"/>
        <w:ind w:left="360" w:hanging="230"/>
      </w:pPr>
      <w:r>
        <w:t>OCG enforcement</w:t>
      </w:r>
    </w:p>
    <w:p>
      <w:pPr>
        <w:pStyle w:val="ListBullet"/>
        <w:spacing w:after="60"/>
        <w:ind w:left="360" w:hanging="230"/>
      </w:pPr>
      <w:r>
        <w:t>Customer pain</w:t>
      </w:r>
    </w:p>
    <w:p>
      <w:pPr>
        <w:pStyle w:val="ListBullet"/>
        <w:spacing w:after="60"/>
        <w:ind w:left="360" w:hanging="230"/>
      </w:pPr>
      <w:r>
        <w:t>Competitor behavior</w:t>
      </w:r>
    </w:p>
    <w:p>
      <w:pPr>
        <w:pStyle w:val="ListBullet"/>
        <w:spacing w:after="60"/>
        <w:ind w:left="360" w:hanging="230"/>
      </w:pPr>
      <w:r>
        <w:t>Product positioning</w:t>
      </w:r>
    </w:p>
    <w:p>
      <w:pPr>
        <w:pStyle w:val="ListBullet"/>
        <w:spacing w:after="60"/>
        <w:ind w:left="360" w:hanging="230"/>
      </w:pPr>
      <w:r>
        <w:t>Azure architecture</w:t>
      </w:r>
    </w:p>
    <w:p>
      <w:pPr>
        <w:pStyle w:val="ListBullet"/>
        <w:spacing w:after="60"/>
        <w:ind w:left="360" w:hanging="230"/>
      </w:pPr>
      <w:r>
        <w:t>Microsoft commercialization</w:t>
      </w:r>
    </w:p>
    <w:p>
      <w:pPr>
        <w:pStyle w:val="ListBullet"/>
        <w:spacing w:after="60"/>
        <w:ind w:left="360" w:hanging="230"/>
      </w:pPr>
      <w:r>
        <w:t>Investor targeting</w:t>
      </w:r>
    </w:p>
    <w:p>
      <w:pPr>
        <w:pStyle w:val="ListBullet"/>
        <w:spacing w:after="60"/>
        <w:ind w:left="360" w:hanging="230"/>
      </w:pPr>
      <w:r>
        <w:t>Customer validation</w:t>
      </w:r>
    </w:p>
    <w:p>
      <w:pPr>
        <w:pStyle w:val="ListBullet"/>
        <w:spacing w:after="60"/>
        <w:ind w:left="360" w:hanging="230"/>
      </w:pPr>
      <w:r>
        <w:t>Product boundaries</w:t>
      </w:r>
    </w:p>
    <w:p>
      <w:pPr>
        <w:pStyle w:val="Heading2"/>
      </w:pPr>
      <w:r>
        <w:t>15.11 Customer Data</w:t>
      </w:r>
    </w:p>
    <w:p>
      <w:r>
        <w:t>Customer data should remain conceptually separate from DRE intellectual property.</w:t>
      </w:r>
    </w:p>
    <w:p>
      <w:pPr>
        <w:pStyle w:val="ListBullet"/>
        <w:spacing w:after="60"/>
        <w:ind w:left="360" w:hanging="230"/>
      </w:pPr>
      <w:r>
        <w:t>Legal-billing files</w:t>
      </w:r>
    </w:p>
    <w:p>
      <w:pPr>
        <w:pStyle w:val="ListBullet"/>
        <w:spacing w:after="60"/>
        <w:ind w:left="360" w:hanging="230"/>
      </w:pPr>
      <w:r>
        <w:t>Matter information</w:t>
      </w:r>
    </w:p>
    <w:p>
      <w:pPr>
        <w:pStyle w:val="ListBullet"/>
        <w:spacing w:after="60"/>
        <w:ind w:left="360" w:hanging="230"/>
      </w:pPr>
      <w:r>
        <w:t>OCGs</w:t>
      </w:r>
    </w:p>
    <w:p>
      <w:pPr>
        <w:pStyle w:val="ListBullet"/>
        <w:spacing w:after="60"/>
        <w:ind w:left="360" w:hanging="230"/>
      </w:pPr>
      <w:r>
        <w:t>Billing policies</w:t>
      </w:r>
    </w:p>
    <w:p>
      <w:pPr>
        <w:pStyle w:val="ListBullet"/>
        <w:spacing w:after="60"/>
        <w:ind w:left="360" w:hanging="230"/>
      </w:pPr>
      <w:r>
        <w:t>Customer-specific configurations</w:t>
      </w:r>
    </w:p>
    <w:p>
      <w:pPr>
        <w:pStyle w:val="ListBullet"/>
        <w:spacing w:after="60"/>
        <w:ind w:left="360" w:hanging="230"/>
      </w:pPr>
      <w:r>
        <w:t>Human-review decisions</w:t>
      </w:r>
    </w:p>
    <w:p>
      <w:pPr>
        <w:pStyle w:val="ListBullet"/>
        <w:spacing w:after="60"/>
        <w:ind w:left="360" w:hanging="230"/>
      </w:pPr>
      <w:r>
        <w:t>Customer feedback</w:t>
      </w:r>
    </w:p>
    <w:p>
      <w:pPr>
        <w:pStyle w:val="ListBullet"/>
        <w:spacing w:after="60"/>
        <w:ind w:left="360" w:hanging="230"/>
      </w:pPr>
      <w:r>
        <w:t>Customer operational records</w:t>
      </w:r>
    </w:p>
    <w:p>
      <w:pPr>
        <w:pStyle w:val="Heading2"/>
      </w:pPr>
      <w:r>
        <w:t>15.12 Customer-Specific OCGs and Policies</w:t>
      </w:r>
    </w:p>
    <w:p>
      <w:r>
        <w:t>Outside Counsel Guidelines present an especially important ownership distinction.</w:t>
      </w:r>
    </w:p>
    <w:p>
      <w:pPr>
        <w:pStyle w:val="ListBullet"/>
        <w:spacing w:after="60"/>
        <w:ind w:left="360" w:hanging="230"/>
      </w:pPr>
      <w:r>
        <w:t>Customer’s original policy</w:t>
      </w:r>
    </w:p>
    <w:p>
      <w:pPr>
        <w:pStyle w:val="ListBullet"/>
        <w:spacing w:after="60"/>
        <w:ind w:left="360" w:hanging="230"/>
      </w:pPr>
      <w:r>
        <w:t>Customer-specific configuration</w:t>
      </w:r>
    </w:p>
    <w:p>
      <w:pPr>
        <w:pStyle w:val="ListBullet"/>
        <w:spacing w:after="60"/>
        <w:ind w:left="360" w:hanging="230"/>
      </w:pPr>
      <w:r>
        <w:t>Generic DRE rule capability</w:t>
      </w:r>
    </w:p>
    <w:p>
      <w:pPr>
        <w:pStyle w:val="ListBullet"/>
        <w:spacing w:after="60"/>
        <w:ind w:left="360" w:hanging="230"/>
      </w:pPr>
      <w:r>
        <w:t>Improvements to the DRE rule engine</w:t>
      </w:r>
    </w:p>
    <w:p>
      <w:pPr>
        <w:pStyle w:val="ListBullet"/>
        <w:spacing w:after="60"/>
        <w:ind w:left="360" w:hanging="230"/>
      </w:pPr>
      <w:r>
        <w:t>Reusable product functionality developed while supporting the customer</w:t>
      </w:r>
    </w:p>
    <w:p>
      <w:pPr>
        <w:pStyle w:val="Heading2"/>
      </w:pPr>
      <w:r>
        <w:t>15.13 Customer Configuration vs. Core Product</w:t>
      </w:r>
    </w:p>
    <w:p>
      <w:r>
        <w:t>DRE should maintain a conceptual boundary between core product and customer configuration.</w:t>
      </w:r>
    </w:p>
    <w:p>
      <w:pPr>
        <w:pStyle w:val="ListBullet"/>
        <w:spacing w:after="60"/>
        <w:ind w:left="360" w:hanging="230"/>
      </w:pPr>
      <w:r>
        <w:t>Customer-specific OCG rules</w:t>
      </w:r>
    </w:p>
    <w:p>
      <w:pPr>
        <w:pStyle w:val="ListBullet"/>
        <w:spacing w:after="60"/>
        <w:ind w:left="360" w:hanging="230"/>
      </w:pPr>
      <w:r>
        <w:t>Matter-specific rules</w:t>
      </w:r>
    </w:p>
    <w:p>
      <w:pPr>
        <w:pStyle w:val="ListBullet"/>
        <w:spacing w:after="60"/>
        <w:ind w:left="360" w:hanging="230"/>
      </w:pPr>
      <w:r>
        <w:t>Authorized exceptions</w:t>
      </w:r>
    </w:p>
    <w:p>
      <w:pPr>
        <w:pStyle w:val="ListBullet"/>
        <w:spacing w:after="60"/>
        <w:ind w:left="360" w:hanging="230"/>
      </w:pPr>
      <w:r>
        <w:t>Review thresholds</w:t>
      </w:r>
    </w:p>
    <w:p>
      <w:pPr>
        <w:pStyle w:val="ListBullet"/>
        <w:spacing w:after="60"/>
        <w:ind w:left="360" w:hanging="230"/>
      </w:pPr>
      <w:r>
        <w:t>Routing</w:t>
      </w:r>
    </w:p>
    <w:p>
      <w:pPr>
        <w:pStyle w:val="ListBullet"/>
        <w:spacing w:after="60"/>
        <w:ind w:left="360" w:hanging="230"/>
      </w:pPr>
      <w:r>
        <w:t>Output requirements</w:t>
      </w:r>
    </w:p>
    <w:p>
      <w:pPr>
        <w:pStyle w:val="ListBullet"/>
        <w:spacing w:after="60"/>
        <w:ind w:left="360" w:hanging="230"/>
      </w:pPr>
      <w:r>
        <w:t>Environment settings</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CORE PRODUCT</w:t>
            </w:r>
          </w:p>
        </w:tc>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CUSTOMER CONFIGURATION</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6"/>
              </w:rPr>
              <w:t>Reusable engine, orchestration, consensus architecture, deployment framework, interfaces, validation, and audit mechanisms.</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6"/>
              </w:rPr>
              <w:t>Customer-specific OCG rules, matter-specific rules, authorized exceptions, review thresholds, routing, output requirements, and environment settings.</w:t>
            </w:r>
          </w:p>
        </w:tc>
      </w:tr>
    </w:tbl>
    <w:p/>
    <w:p>
      <w:pPr>
        <w:pStyle w:val="Heading2"/>
      </w:pPr>
      <w:r>
        <w:t>15.14 Improvements Arising From Customer Work</w:t>
      </w:r>
    </w:p>
    <w:p>
      <w:r>
        <w:t>Early design partners may identify changes that materially improve DRE.</w:t>
      </w:r>
    </w:p>
    <w:p>
      <w:r>
        <w:t>The company needs a commercial framework allowing product learning to improve the reusable DRE product while protecting the customer’s confidential information and customer-owned material.</w:t>
      </w:r>
    </w:p>
    <w:p>
      <w:r>
        <w:t>The customer’s confidential OCG remains the customer’s material.</w:t>
      </w:r>
    </w:p>
    <w:p>
      <w:r>
        <w:t>The generalized product capability developed to support that requirement may become part of DRE.</w:t>
      </w:r>
    </w:p>
    <w:p>
      <w:r>
        <w:t>The final agreement should make those boundaries explicit.</w:t>
      </w:r>
    </w:p>
    <w:p>
      <w:pPr>
        <w:pStyle w:val="Heading2"/>
      </w:pPr>
      <w:r>
        <w:t>15.15 Licensing Model</w:t>
      </w:r>
    </w:p>
    <w:p>
      <w:r>
        <w:t>Because DRE is intended for deployment inside customer-owned Azure environments, the commercial model will eventually require a software-license or subscription structure appropriate to that deployment.</w:t>
      </w:r>
    </w:p>
    <w:p>
      <w:pPr>
        <w:pStyle w:val="ListBullet"/>
        <w:spacing w:after="60"/>
        <w:ind w:left="360" w:hanging="230"/>
      </w:pPr>
      <w:r>
        <w:t>Deploy</w:t>
      </w:r>
    </w:p>
    <w:p>
      <w:pPr>
        <w:pStyle w:val="ListBullet"/>
        <w:spacing w:after="60"/>
        <w:ind w:left="360" w:hanging="230"/>
      </w:pPr>
      <w:r>
        <w:t>Access</w:t>
      </w:r>
    </w:p>
    <w:p>
      <w:pPr>
        <w:pStyle w:val="ListBullet"/>
        <w:spacing w:after="60"/>
        <w:ind w:left="360" w:hanging="230"/>
      </w:pPr>
      <w:r>
        <w:t>Execute</w:t>
      </w:r>
    </w:p>
    <w:p>
      <w:pPr>
        <w:pStyle w:val="ListBullet"/>
        <w:spacing w:after="60"/>
        <w:ind w:left="360" w:hanging="230"/>
      </w:pPr>
      <w:r>
        <w:t>Configure</w:t>
      </w:r>
    </w:p>
    <w:p>
      <w:pPr>
        <w:pStyle w:val="ListBullet"/>
        <w:spacing w:after="60"/>
        <w:ind w:left="360" w:hanging="230"/>
      </w:pPr>
      <w:r>
        <w:t>Use</w:t>
      </w:r>
    </w:p>
    <w:p>
      <w:pPr>
        <w:pStyle w:val="ListBullet"/>
        <w:spacing w:after="60"/>
        <w:ind w:left="360" w:hanging="230"/>
      </w:pPr>
      <w:r>
        <w:t>Receive updates</w:t>
      </w:r>
    </w:p>
    <w:p>
      <w:pPr>
        <w:pStyle w:val="ListBullet"/>
        <w:spacing w:after="60"/>
        <w:ind w:left="360" w:hanging="230"/>
      </w:pPr>
      <w:r>
        <w:t>Receive support</w:t>
      </w:r>
    </w:p>
    <w:p>
      <w:pPr>
        <w:pStyle w:val="Heading2"/>
      </w:pPr>
      <w:r>
        <w:t>15.16 Deployment Artifacts</w:t>
      </w:r>
    </w:p>
    <w:p>
      <w:r>
        <w:t>Customer deployment may involve delivering or executing artifacts such as:</w:t>
      </w:r>
    </w:p>
    <w:p>
      <w:pPr>
        <w:pStyle w:val="ListBullet"/>
        <w:spacing w:after="60"/>
        <w:ind w:left="360" w:hanging="230"/>
      </w:pPr>
      <w:r>
        <w:t>Bicep</w:t>
      </w:r>
    </w:p>
    <w:p>
      <w:pPr>
        <w:pStyle w:val="ListBullet"/>
        <w:spacing w:after="60"/>
        <w:ind w:left="360" w:hanging="230"/>
      </w:pPr>
      <w:r>
        <w:t>Application packages</w:t>
      </w:r>
    </w:p>
    <w:p>
      <w:pPr>
        <w:pStyle w:val="ListBullet"/>
        <w:spacing w:after="60"/>
        <w:ind w:left="360" w:hanging="230"/>
      </w:pPr>
      <w:r>
        <w:t>Containers</w:t>
      </w:r>
    </w:p>
    <w:p>
      <w:pPr>
        <w:pStyle w:val="ListBullet"/>
        <w:spacing w:after="60"/>
        <w:ind w:left="360" w:hanging="230"/>
      </w:pPr>
      <w:r>
        <w:t>Configuration</w:t>
      </w:r>
    </w:p>
    <w:p>
      <w:pPr>
        <w:pStyle w:val="ListBullet"/>
        <w:spacing w:after="60"/>
        <w:ind w:left="360" w:hanging="230"/>
      </w:pPr>
      <w:r>
        <w:t>Scripts</w:t>
      </w:r>
    </w:p>
    <w:p>
      <w:pPr>
        <w:pStyle w:val="ListBullet"/>
        <w:spacing w:after="60"/>
        <w:ind w:left="360" w:hanging="230"/>
      </w:pPr>
      <w:r>
        <w:t>Rule sets</w:t>
      </w:r>
    </w:p>
    <w:p>
      <w:pPr>
        <w:pStyle w:val="ListBullet"/>
        <w:spacing w:after="60"/>
        <w:ind w:left="360" w:hanging="230"/>
      </w:pPr>
      <w:r>
        <w:t>Documentation</w:t>
      </w:r>
    </w:p>
    <w:p>
      <w:pPr>
        <w:pStyle w:val="ListBullet"/>
        <w:spacing w:after="60"/>
        <w:ind w:left="360" w:hanging="230"/>
      </w:pPr>
      <w:r>
        <w:t>Validation tools</w:t>
      </w:r>
    </w:p>
    <w:p>
      <w:pPr>
        <w:pStyle w:val="Heading2"/>
      </w:pPr>
      <w:r>
        <w:t>15.17 Source-Code Exposure</w:t>
      </w:r>
    </w:p>
    <w:p>
      <w:r>
        <w:t>Customer-owned deployment does not automatically require unrestricted source-code delivery.</w:t>
      </w:r>
    </w:p>
    <w:p>
      <w:pPr>
        <w:pStyle w:val="ListBullet"/>
        <w:spacing w:after="60"/>
        <w:ind w:left="360" w:hanging="230"/>
      </w:pPr>
      <w:r>
        <w:t>Source</w:t>
      </w:r>
    </w:p>
    <w:p>
      <w:pPr>
        <w:pStyle w:val="ListBullet"/>
        <w:spacing w:after="60"/>
        <w:ind w:left="360" w:hanging="230"/>
      </w:pPr>
      <w:r>
        <w:t>Compiled/transpiled application</w:t>
      </w:r>
    </w:p>
    <w:p>
      <w:pPr>
        <w:pStyle w:val="ListBullet"/>
        <w:spacing w:after="60"/>
        <w:ind w:left="360" w:hanging="230"/>
      </w:pPr>
      <w:r>
        <w:t>Container</w:t>
      </w:r>
    </w:p>
    <w:p>
      <w:pPr>
        <w:pStyle w:val="ListBullet"/>
        <w:spacing w:after="60"/>
        <w:ind w:left="360" w:hanging="230"/>
      </w:pPr>
      <w:r>
        <w:t>Deployment package</w:t>
      </w:r>
    </w:p>
    <w:p>
      <w:pPr>
        <w:pStyle w:val="ListBullet"/>
        <w:spacing w:after="60"/>
        <w:ind w:left="360" w:hanging="230"/>
      </w:pPr>
      <w:r>
        <w:t>Infrastructure definition</w:t>
      </w:r>
    </w:p>
    <w:p>
      <w:pPr>
        <w:pStyle w:val="ListBullet"/>
        <w:spacing w:after="60"/>
        <w:ind w:left="360" w:hanging="230"/>
      </w:pPr>
      <w:r>
        <w:t>Configuration</w:t>
      </w:r>
    </w:p>
    <w:p>
      <w:pPr>
        <w:pStyle w:val="ListBullet"/>
        <w:spacing w:after="60"/>
        <w:ind w:left="360" w:hanging="230"/>
      </w:pPr>
      <w:r>
        <w:t>Managed update</w:t>
      </w:r>
    </w:p>
    <w:p>
      <w:pPr>
        <w:pStyle w:val="Heading2"/>
      </w:pPr>
      <w:r>
        <w:t>15.18 Domain Ownership</w:t>
      </w:r>
    </w:p>
    <w:p>
      <w:r>
        <w:t>DRE’s domain and web properties are company assets.</w:t>
      </w:r>
    </w:p>
    <w:p>
      <w:pPr>
        <w:pStyle w:val="ListBullet"/>
        <w:spacing w:after="60"/>
        <w:ind w:left="360" w:hanging="230"/>
      </w:pPr>
      <w:r>
        <w:t>Primary DRE domain</w:t>
      </w:r>
    </w:p>
    <w:p>
      <w:pPr>
        <w:pStyle w:val="ListBullet"/>
        <w:spacing w:after="60"/>
        <w:ind w:left="360" w:hanging="230"/>
      </w:pPr>
      <w:r>
        <w:t>Relevant subdomains</w:t>
      </w:r>
    </w:p>
    <w:p>
      <w:pPr>
        <w:pStyle w:val="ListBullet"/>
        <w:spacing w:after="60"/>
        <w:ind w:left="360" w:hanging="230"/>
      </w:pPr>
      <w:r>
        <w:t>DNS</w:t>
      </w:r>
    </w:p>
    <w:p>
      <w:pPr>
        <w:pStyle w:val="ListBullet"/>
        <w:spacing w:after="60"/>
        <w:ind w:left="360" w:hanging="230"/>
      </w:pPr>
      <w:r>
        <w:t>Hosting</w:t>
      </w:r>
    </w:p>
    <w:p>
      <w:pPr>
        <w:pStyle w:val="ListBullet"/>
        <w:spacing w:after="60"/>
        <w:ind w:left="360" w:hanging="230"/>
      </w:pPr>
      <w:r>
        <w:t>TLS certificates</w:t>
      </w:r>
    </w:p>
    <w:p>
      <w:pPr>
        <w:pStyle w:val="ListBullet"/>
        <w:spacing w:after="60"/>
        <w:ind w:left="360" w:hanging="230"/>
      </w:pPr>
      <w:r>
        <w:t>Registrar account</w:t>
      </w:r>
    </w:p>
    <w:p>
      <w:pPr>
        <w:pStyle w:val="ListBullet"/>
        <w:spacing w:after="60"/>
        <w:ind w:left="360" w:hanging="230"/>
      </w:pPr>
      <w:r>
        <w:t>Administrative access</w:t>
      </w:r>
    </w:p>
    <w:p>
      <w:pPr>
        <w:pStyle w:val="ListBullet"/>
        <w:spacing w:after="60"/>
        <w:ind w:left="360" w:hanging="230"/>
      </w:pPr>
      <w:r>
        <w:t>Associated email identities</w:t>
      </w:r>
    </w:p>
    <w:p>
      <w:pPr>
        <w:pStyle w:val="Heading2"/>
      </w:pPr>
      <w:r>
        <w:t>15.19 Brand and Product Naming</w:t>
      </w:r>
    </w:p>
    <w:p>
      <w:r>
        <w:t>The working product identity is DRE and Dr. E / Deterministic Review Engine.</w:t>
      </w:r>
    </w:p>
    <w:p>
      <w:pPr>
        <w:pStyle w:val="ListBullet"/>
        <w:spacing w:after="60"/>
        <w:ind w:left="360" w:hanging="230"/>
      </w:pPr>
      <w:r>
        <w:t>Existing trademarks</w:t>
      </w:r>
    </w:p>
    <w:p>
      <w:pPr>
        <w:pStyle w:val="ListBullet"/>
        <w:spacing w:after="60"/>
        <w:ind w:left="360" w:hanging="230"/>
      </w:pPr>
      <w:r>
        <w:t>Similar legal-tech products</w:t>
      </w:r>
    </w:p>
    <w:p>
      <w:pPr>
        <w:pStyle w:val="ListBullet"/>
        <w:spacing w:after="60"/>
        <w:ind w:left="360" w:hanging="230"/>
      </w:pPr>
      <w:r>
        <w:t>Similar software products</w:t>
      </w:r>
    </w:p>
    <w:p>
      <w:pPr>
        <w:pStyle w:val="ListBullet"/>
        <w:spacing w:after="60"/>
        <w:ind w:left="360" w:hanging="230"/>
      </w:pPr>
      <w:r>
        <w:t>Domain availability</w:t>
      </w:r>
    </w:p>
    <w:p>
      <w:pPr>
        <w:pStyle w:val="ListBullet"/>
        <w:spacing w:after="60"/>
        <w:ind w:left="360" w:hanging="230"/>
      </w:pPr>
      <w:r>
        <w:t>Marketplace naming conflicts</w:t>
      </w:r>
    </w:p>
    <w:p>
      <w:pPr>
        <w:pStyle w:val="ListBullet"/>
        <w:spacing w:after="60"/>
        <w:ind w:left="360" w:hanging="230"/>
      </w:pPr>
      <w:r>
        <w:t>Search ambiguity</w:t>
      </w:r>
    </w:p>
    <w:p>
      <w:pPr>
        <w:pStyle w:val="ListBullet"/>
        <w:spacing w:after="60"/>
        <w:ind w:left="360" w:hanging="230"/>
      </w:pPr>
      <w:r>
        <w:t>Appropriate trademark strategy</w:t>
      </w:r>
    </w:p>
    <w:p>
      <w:pPr>
        <w:pStyle w:val="Heading2"/>
      </w:pPr>
      <w:r>
        <w:t>15.20 Trademark Strategy</w:t>
      </w:r>
    </w:p>
    <w:p>
      <w:r>
        <w:t>If DRE/Dr. E remains the final commercial identity, Engineered Launch can evaluate whether trademark registration is appropriate.</w:t>
      </w:r>
    </w:p>
    <w:p>
      <w:pPr>
        <w:pStyle w:val="ListBullet"/>
        <w:spacing w:after="60"/>
        <w:ind w:left="360" w:hanging="230"/>
      </w:pPr>
      <w:r>
        <w:t>Company name</w:t>
      </w:r>
    </w:p>
    <w:p>
      <w:pPr>
        <w:pStyle w:val="ListBullet"/>
        <w:spacing w:after="60"/>
        <w:ind w:left="360" w:hanging="230"/>
      </w:pPr>
      <w:r>
        <w:t>Product name</w:t>
      </w:r>
    </w:p>
    <w:p>
      <w:pPr>
        <w:pStyle w:val="ListBullet"/>
        <w:spacing w:after="60"/>
        <w:ind w:left="360" w:hanging="230"/>
      </w:pPr>
      <w:r>
        <w:t>Product logo</w:t>
      </w:r>
    </w:p>
    <w:p>
      <w:pPr>
        <w:pStyle w:val="ListBullet"/>
        <w:spacing w:after="60"/>
        <w:ind w:left="360" w:hanging="230"/>
      </w:pPr>
      <w:r>
        <w:t>Other distinctive product identifiers</w:t>
      </w:r>
    </w:p>
    <w:p>
      <w:pPr>
        <w:pStyle w:val="Heading2"/>
      </w:pPr>
      <w:r>
        <w:t>15.21 Copyright</w:t>
      </w:r>
    </w:p>
    <w:p>
      <w:r>
        <w:t>Original DRE source code, documentation, diagrams, website copy, and other copyrightable materials may receive copyright protection subject to applicable law and the circumstances of their creation.</w:t>
      </w:r>
    </w:p>
    <w:p>
      <w:pPr>
        <w:pStyle w:val="ListBullet"/>
        <w:spacing w:after="60"/>
        <w:ind w:left="360" w:hanging="230"/>
      </w:pPr>
      <w:r>
        <w:t>Source history</w:t>
      </w:r>
    </w:p>
    <w:p>
      <w:pPr>
        <w:pStyle w:val="ListBullet"/>
        <w:spacing w:after="60"/>
        <w:ind w:left="360" w:hanging="230"/>
      </w:pPr>
      <w:r>
        <w:t>Creation dates</w:t>
      </w:r>
    </w:p>
    <w:p>
      <w:pPr>
        <w:pStyle w:val="ListBullet"/>
        <w:spacing w:after="60"/>
        <w:ind w:left="360" w:hanging="230"/>
      </w:pPr>
      <w:r>
        <w:t>Version history</w:t>
      </w:r>
    </w:p>
    <w:p>
      <w:pPr>
        <w:pStyle w:val="ListBullet"/>
        <w:spacing w:after="60"/>
        <w:ind w:left="360" w:hanging="230"/>
      </w:pPr>
      <w:r>
        <w:t>Authorship/contribution records</w:t>
      </w:r>
    </w:p>
    <w:p>
      <w:pPr>
        <w:pStyle w:val="ListBullet"/>
        <w:spacing w:after="60"/>
        <w:ind w:left="360" w:hanging="230"/>
      </w:pPr>
      <w:r>
        <w:t>Final published materials</w:t>
      </w:r>
    </w:p>
    <w:p>
      <w:pPr>
        <w:pStyle w:val="Heading2"/>
      </w:pPr>
      <w:r>
        <w:t>15.22 Patent Evaluation</w:t>
      </w:r>
    </w:p>
    <w:p>
      <w:r>
        <w:t>Some portions of DRE’s architecture may eventually warrant evaluation for potential patent protection.</w:t>
      </w:r>
    </w:p>
    <w:p>
      <w:pPr>
        <w:pStyle w:val="ListBullet"/>
        <w:spacing w:after="60"/>
        <w:ind w:left="360" w:hanging="230"/>
      </w:pPr>
      <w:r>
        <w:t>Deterministic/semantic review routing</w:t>
      </w:r>
    </w:p>
    <w:p>
      <w:pPr>
        <w:pStyle w:val="ListBullet"/>
        <w:spacing w:after="60"/>
        <w:ind w:left="360" w:hanging="230"/>
      </w:pPr>
      <w:r>
        <w:t>Consensus architecture</w:t>
      </w:r>
    </w:p>
    <w:p>
      <w:pPr>
        <w:pStyle w:val="ListBullet"/>
        <w:spacing w:after="60"/>
        <w:ind w:left="360" w:hanging="230"/>
      </w:pPr>
      <w:r>
        <w:t>Legal-billing policy execution</w:t>
      </w:r>
    </w:p>
    <w:p>
      <w:pPr>
        <w:pStyle w:val="ListBullet"/>
        <w:spacing w:after="60"/>
        <w:ind w:left="360" w:hanging="230"/>
      </w:pPr>
      <w:r>
        <w:t>Evidence-chain construction</w:t>
      </w:r>
    </w:p>
    <w:p>
      <w:pPr>
        <w:pStyle w:val="ListBullet"/>
        <w:spacing w:after="60"/>
        <w:ind w:left="360" w:hanging="230"/>
      </w:pPr>
      <w:r>
        <w:t>Human-authority integration</w:t>
      </w:r>
    </w:p>
    <w:p>
      <w:pPr>
        <w:pStyle w:val="ListBullet"/>
        <w:spacing w:after="60"/>
        <w:ind w:left="360" w:hanging="230"/>
      </w:pPr>
      <w:r>
        <w:t>Other original processing mechanisms</w:t>
      </w:r>
    </w:p>
    <w:p>
      <w:r>
        <w:t>That is not the same as asserting that DRE currently has patentable inventions or issued patent rights.</w:t>
      </w:r>
    </w:p>
    <w:p>
      <w:r>
        <w:t>Patent decisions should follow professional IP review and commercial strategy.</w:t>
      </w:r>
    </w:p>
    <w:p>
      <w:r>
        <w:t>The company should not publicly describe DRE as patented or patent-pending unless that status actually exists.</w:t>
      </w:r>
    </w:p>
    <w:p>
      <w:pPr>
        <w:pStyle w:val="Heading2"/>
      </w:pPr>
      <w:r>
        <w:t>15.23 Trade Secrets</w:t>
      </w:r>
    </w:p>
    <w:p>
      <w:r>
        <w:t>Some DRE knowledge may be more appropriately protected as confidential know-how or trade-secret material rather than through public disclosure.</w:t>
      </w:r>
    </w:p>
    <w:p>
      <w:pPr>
        <w:pStyle w:val="ListBullet"/>
        <w:spacing w:after="60"/>
        <w:ind w:left="360" w:hanging="230"/>
      </w:pPr>
      <w:r>
        <w:t>Internal rule-development methodology</w:t>
      </w:r>
    </w:p>
    <w:p>
      <w:pPr>
        <w:pStyle w:val="ListBullet"/>
        <w:spacing w:after="60"/>
        <w:ind w:left="360" w:hanging="230"/>
      </w:pPr>
      <w:r>
        <w:t>Model/agent configuration</w:t>
      </w:r>
    </w:p>
    <w:p>
      <w:pPr>
        <w:pStyle w:val="ListBullet"/>
        <w:spacing w:after="60"/>
        <w:ind w:left="360" w:hanging="230"/>
      </w:pPr>
      <w:r>
        <w:t>Evaluation methodology</w:t>
      </w:r>
    </w:p>
    <w:p>
      <w:pPr>
        <w:pStyle w:val="ListBullet"/>
        <w:spacing w:after="60"/>
        <w:ind w:left="360" w:hanging="230"/>
      </w:pPr>
      <w:r>
        <w:t>Customer-specific implementation knowledge</w:t>
      </w:r>
    </w:p>
    <w:p>
      <w:pPr>
        <w:pStyle w:val="ListBullet"/>
        <w:spacing w:after="60"/>
        <w:ind w:left="360" w:hanging="230"/>
      </w:pPr>
      <w:r>
        <w:t>Product tuning</w:t>
      </w:r>
    </w:p>
    <w:p>
      <w:pPr>
        <w:pStyle w:val="ListBullet"/>
        <w:spacing w:after="60"/>
        <w:ind w:left="360" w:hanging="230"/>
      </w:pPr>
      <w:r>
        <w:t>Proprietary datasets</w:t>
      </w:r>
    </w:p>
    <w:p>
      <w:pPr>
        <w:pStyle w:val="ListBullet"/>
        <w:spacing w:after="60"/>
        <w:ind w:left="360" w:hanging="230"/>
      </w:pPr>
      <w:r>
        <w:t>Internal commercial methods</w:t>
      </w:r>
    </w:p>
    <w:p>
      <w:pPr>
        <w:pStyle w:val="ListBullet"/>
        <w:spacing w:after="60"/>
        <w:ind w:left="360" w:hanging="230"/>
      </w:pPr>
      <w:r>
        <w:t>Unpublished architecture improvements</w:t>
      </w:r>
    </w:p>
    <w:p>
      <w:pPr>
        <w:pStyle w:val="Heading2"/>
      </w:pPr>
      <w:r>
        <w:t>15.24 Public Documentation vs. Confidential Material</w:t>
      </w:r>
    </w:p>
    <w:p>
      <w:r>
        <w:t>DRE is deliberately producing substantial public-facing technical documentation.</w:t>
      </w:r>
    </w:p>
    <w:p>
      <w:pPr>
        <w:pStyle w:val="ListBullet"/>
        <w:spacing w:after="60"/>
        <w:ind w:left="360" w:hanging="230"/>
      </w:pPr>
      <w:r>
        <w:t>Public</w:t>
      </w:r>
    </w:p>
    <w:p>
      <w:pPr>
        <w:pStyle w:val="ListBullet"/>
        <w:spacing w:after="60"/>
        <w:ind w:left="360" w:hanging="230"/>
      </w:pPr>
      <w:r>
        <w:t>Customer</w:t>
      </w:r>
    </w:p>
    <w:p>
      <w:pPr>
        <w:pStyle w:val="ListBullet"/>
        <w:spacing w:after="60"/>
        <w:ind w:left="360" w:hanging="230"/>
      </w:pPr>
      <w:r>
        <w:t>Confidential customer</w:t>
      </w:r>
    </w:p>
    <w:p>
      <w:pPr>
        <w:pStyle w:val="ListBullet"/>
        <w:spacing w:after="60"/>
        <w:ind w:left="360" w:hanging="230"/>
      </w:pPr>
      <w:r>
        <w:t>Investor diligence</w:t>
      </w:r>
    </w:p>
    <w:p>
      <w:pPr>
        <w:pStyle w:val="ListBullet"/>
        <w:spacing w:after="60"/>
        <w:ind w:left="360" w:hanging="230"/>
      </w:pPr>
      <w:r>
        <w:t>Internal</w:t>
      </w:r>
    </w:p>
    <w:p>
      <w:pPr>
        <w:pStyle w:val="ListBullet"/>
        <w:spacing w:after="60"/>
        <w:ind w:left="360" w:hanging="230"/>
      </w:pPr>
      <w:r>
        <w:t>Restricted technical material</w:t>
      </w:r>
    </w:p>
    <w:p>
      <w:pPr>
        <w:pStyle w:val="Heading2"/>
      </w:pPr>
      <w:r>
        <w:t>15.25 Company Separation</w:t>
      </w:r>
    </w:p>
    <w:p>
      <w:r>
        <w:t>DRE belongs within the Engineered Launch business structure rather than being mixed indiscriminately with unrelated businesses or products.</w:t>
      </w:r>
    </w:p>
    <w:p>
      <w:pPr>
        <w:pStyle w:val="ListBullet"/>
        <w:spacing w:after="60"/>
        <w:ind w:left="360" w:hanging="230"/>
      </w:pPr>
      <w:r>
        <w:t>Company identity</w:t>
      </w:r>
    </w:p>
    <w:p>
      <w:pPr>
        <w:pStyle w:val="ListBullet"/>
        <w:spacing w:after="60"/>
        <w:ind w:left="360" w:hanging="230"/>
      </w:pPr>
      <w:r>
        <w:t>Product ownership</w:t>
      </w:r>
    </w:p>
    <w:p>
      <w:pPr>
        <w:pStyle w:val="ListBullet"/>
        <w:spacing w:after="60"/>
        <w:ind w:left="360" w:hanging="230"/>
      </w:pPr>
      <w:r>
        <w:t>Banking/accounting</w:t>
      </w:r>
    </w:p>
    <w:p>
      <w:pPr>
        <w:pStyle w:val="ListBullet"/>
        <w:spacing w:after="60"/>
        <w:ind w:left="360" w:hanging="230"/>
      </w:pPr>
      <w:r>
        <w:t>Contracts</w:t>
      </w:r>
    </w:p>
    <w:p>
      <w:pPr>
        <w:pStyle w:val="ListBullet"/>
        <w:spacing w:after="60"/>
        <w:ind w:left="360" w:hanging="230"/>
      </w:pPr>
      <w:r>
        <w:t>Domains</w:t>
      </w:r>
    </w:p>
    <w:p>
      <w:pPr>
        <w:pStyle w:val="ListBullet"/>
        <w:spacing w:after="60"/>
        <w:ind w:left="360" w:hanging="230"/>
      </w:pPr>
      <w:r>
        <w:t>Azure/Microsoft identity</w:t>
      </w:r>
    </w:p>
    <w:p>
      <w:pPr>
        <w:pStyle w:val="ListBullet"/>
        <w:spacing w:after="60"/>
        <w:ind w:left="360" w:hanging="230"/>
      </w:pPr>
      <w:r>
        <w:t>Investor materials</w:t>
      </w:r>
    </w:p>
    <w:p>
      <w:pPr>
        <w:pStyle w:val="ListBullet"/>
        <w:spacing w:after="60"/>
        <w:ind w:left="360" w:hanging="230"/>
      </w:pPr>
      <w:r>
        <w:t>Revenue</w:t>
      </w:r>
    </w:p>
    <w:p>
      <w:pPr>
        <w:pStyle w:val="ListBullet"/>
        <w:spacing w:after="60"/>
        <w:ind w:left="360" w:hanging="230"/>
      </w:pPr>
      <w:r>
        <w:t>Expenses</w:t>
      </w:r>
    </w:p>
    <w:p>
      <w:pPr>
        <w:pStyle w:val="ListBullet"/>
        <w:spacing w:after="60"/>
        <w:ind w:left="360" w:hanging="230"/>
      </w:pPr>
      <w:r>
        <w:t>Intellectual-property records</w:t>
      </w:r>
    </w:p>
    <w:p>
      <w:pPr>
        <w:pStyle w:val="Heading2"/>
      </w:pPr>
      <w:r>
        <w:t>15.26 Contract Structure</w:t>
      </w:r>
    </w:p>
    <w:p>
      <w:r>
        <w:t>DRE will eventually require a coherent contract stack.</w:t>
      </w:r>
    </w:p>
    <w:p>
      <w:pPr>
        <w:pStyle w:val="ListBullet"/>
        <w:spacing w:after="60"/>
        <w:ind w:left="360" w:hanging="230"/>
      </w:pPr>
      <w:r>
        <w:t>Customer agreement</w:t>
      </w:r>
    </w:p>
    <w:p>
      <w:pPr>
        <w:pStyle w:val="ListBullet"/>
        <w:spacing w:after="60"/>
        <w:ind w:left="360" w:hanging="230"/>
      </w:pPr>
      <w:r>
        <w:t>Software license/subscription terms</w:t>
      </w:r>
    </w:p>
    <w:p>
      <w:pPr>
        <w:pStyle w:val="ListBullet"/>
        <w:spacing w:after="60"/>
        <w:ind w:left="360" w:hanging="230"/>
      </w:pPr>
      <w:r>
        <w:t>Design-partner agreement</w:t>
      </w:r>
    </w:p>
    <w:p>
      <w:pPr>
        <w:pStyle w:val="ListBullet"/>
        <w:spacing w:after="60"/>
        <w:ind w:left="360" w:hanging="230"/>
      </w:pPr>
      <w:r>
        <w:t>Deployment terms</w:t>
      </w:r>
    </w:p>
    <w:p>
      <w:pPr>
        <w:pStyle w:val="ListBullet"/>
        <w:spacing w:after="60"/>
        <w:ind w:left="360" w:hanging="230"/>
      </w:pPr>
      <w:r>
        <w:t>Support terms</w:t>
      </w:r>
    </w:p>
    <w:p>
      <w:pPr>
        <w:pStyle w:val="ListBullet"/>
        <w:spacing w:after="60"/>
        <w:ind w:left="360" w:hanging="230"/>
      </w:pPr>
      <w:r>
        <w:t>Data/privacy terms</w:t>
      </w:r>
    </w:p>
    <w:p>
      <w:pPr>
        <w:pStyle w:val="ListBullet"/>
        <w:spacing w:after="60"/>
        <w:ind w:left="360" w:hanging="230"/>
      </w:pPr>
      <w:r>
        <w:t>Confidentiality provisions</w:t>
      </w:r>
    </w:p>
    <w:p>
      <w:pPr>
        <w:pStyle w:val="ListBullet"/>
        <w:spacing w:after="60"/>
        <w:ind w:left="360" w:hanging="230"/>
      </w:pPr>
      <w:r>
        <w:t>Intellectual-property provisions</w:t>
      </w:r>
    </w:p>
    <w:p>
      <w:pPr>
        <w:pStyle w:val="ListBullet"/>
        <w:spacing w:after="60"/>
        <w:ind w:left="360" w:hanging="230"/>
      </w:pPr>
      <w:r>
        <w:t>Customer-data provisions</w:t>
      </w:r>
    </w:p>
    <w:p>
      <w:pPr>
        <w:pStyle w:val="ListBullet"/>
        <w:spacing w:after="60"/>
        <w:ind w:left="360" w:hanging="230"/>
      </w:pPr>
      <w:r>
        <w:t>Feedback/improvement provisions</w:t>
      </w:r>
    </w:p>
    <w:p>
      <w:pPr>
        <w:pStyle w:val="ListBullet"/>
        <w:spacing w:after="60"/>
        <w:ind w:left="360" w:hanging="230"/>
      </w:pPr>
      <w:r>
        <w:t>Limitation-of-liability provisions</w:t>
      </w:r>
    </w:p>
    <w:p>
      <w:pPr>
        <w:pStyle w:val="ListBullet"/>
        <w:spacing w:after="60"/>
        <w:ind w:left="360" w:hanging="230"/>
      </w:pPr>
      <w:r>
        <w:t>Termination provisions</w:t>
      </w:r>
    </w:p>
    <w:p>
      <w:pPr>
        <w:pStyle w:val="ListBullet"/>
        <w:spacing w:after="60"/>
        <w:ind w:left="360" w:hanging="230"/>
      </w:pPr>
      <w:r>
        <w:t>Marketplace-specific terms where applicable</w:t>
      </w:r>
    </w:p>
    <w:p>
      <w:pPr>
        <w:pStyle w:val="Heading2"/>
      </w:pPr>
      <w:r>
        <w:t>15.27 Design-Partner Agreements</w:t>
      </w:r>
    </w:p>
    <w:p>
      <w:r>
        <w:t>Design partners create special IP considerations because they may participate actively in product development.</w:t>
      </w:r>
    </w:p>
    <w:p>
      <w:pPr>
        <w:pStyle w:val="ListBullet"/>
        <w:spacing w:after="60"/>
        <w:ind w:left="360" w:hanging="230"/>
      </w:pPr>
      <w:r>
        <w:t>What does the customer provide?</w:t>
      </w:r>
    </w:p>
    <w:p>
      <w:pPr>
        <w:pStyle w:val="ListBullet"/>
        <w:spacing w:after="60"/>
        <w:ind w:left="360" w:hanging="230"/>
      </w:pPr>
      <w:r>
        <w:t>What remains customer confidential information?</w:t>
      </w:r>
    </w:p>
    <w:p>
      <w:pPr>
        <w:pStyle w:val="ListBullet"/>
        <w:spacing w:after="60"/>
        <w:ind w:left="360" w:hanging="230"/>
      </w:pPr>
      <w:r>
        <w:t>Who owns the existing DRE product?</w:t>
      </w:r>
    </w:p>
    <w:p>
      <w:pPr>
        <w:pStyle w:val="ListBullet"/>
        <w:spacing w:after="60"/>
        <w:ind w:left="360" w:hanging="230"/>
      </w:pPr>
      <w:r>
        <w:t>Who owns generalized product improvements?</w:t>
      </w:r>
    </w:p>
    <w:p>
      <w:pPr>
        <w:pStyle w:val="ListBullet"/>
        <w:spacing w:after="60"/>
        <w:ind w:left="360" w:hanging="230"/>
      </w:pPr>
      <w:r>
        <w:t>How may customer feedback be used?</w:t>
      </w:r>
    </w:p>
    <w:p>
      <w:pPr>
        <w:pStyle w:val="ListBullet"/>
        <w:spacing w:after="60"/>
        <w:ind w:left="360" w:hanging="230"/>
      </w:pPr>
      <w:r>
        <w:t>What rights does the design partner receive?</w:t>
      </w:r>
    </w:p>
    <w:p>
      <w:pPr>
        <w:pStyle w:val="ListBullet"/>
        <w:spacing w:after="60"/>
        <w:ind w:left="360" w:hanging="230"/>
      </w:pPr>
      <w:r>
        <w:t>May the customer’s name be used?</w:t>
      </w:r>
    </w:p>
    <w:p>
      <w:pPr>
        <w:pStyle w:val="ListBullet"/>
        <w:spacing w:after="60"/>
        <w:ind w:left="360" w:hanging="230"/>
      </w:pPr>
      <w:r>
        <w:t>May results become a case study?</w:t>
      </w:r>
    </w:p>
    <w:p>
      <w:pPr>
        <w:pStyle w:val="ListBullet"/>
        <w:spacing w:after="60"/>
        <w:ind w:left="360" w:hanging="230"/>
      </w:pPr>
      <w:r>
        <w:t>What happens when the design-partner period ends?</w:t>
      </w:r>
    </w:p>
    <w:p>
      <w:pPr>
        <w:pStyle w:val="Heading2"/>
      </w:pPr>
      <w:r>
        <w:t>15.28 Contractor and Contributor IP</w:t>
      </w:r>
    </w:p>
    <w:p>
      <w:r>
        <w:t>If additional developers, designers, consultants, employees, or other contributors work on DRE, Engineered Launch should ensure the relevant agreements establish appropriate rights in work created for the product.</w:t>
      </w:r>
    </w:p>
    <w:p>
      <w:pPr>
        <w:pStyle w:val="ListBullet"/>
        <w:spacing w:after="60"/>
        <w:ind w:left="360" w:hanging="230"/>
      </w:pPr>
      <w:r>
        <w:t>Contributor</w:t>
      </w:r>
    </w:p>
    <w:p>
      <w:pPr>
        <w:pStyle w:val="ListBullet"/>
        <w:spacing w:after="60"/>
        <w:ind w:left="360" w:hanging="230"/>
      </w:pPr>
      <w:r>
        <w:t>Work performed</w:t>
      </w:r>
    </w:p>
    <w:p>
      <w:pPr>
        <w:pStyle w:val="ListBullet"/>
        <w:spacing w:after="60"/>
        <w:ind w:left="360" w:hanging="230"/>
      </w:pPr>
      <w:r>
        <w:t>Engagement type</w:t>
      </w:r>
    </w:p>
    <w:p>
      <w:pPr>
        <w:pStyle w:val="ListBullet"/>
        <w:spacing w:after="60"/>
        <w:ind w:left="360" w:hanging="230"/>
      </w:pPr>
      <w:r>
        <w:t>Applicable agreement</w:t>
      </w:r>
    </w:p>
    <w:p>
      <w:pPr>
        <w:pStyle w:val="ListBullet"/>
        <w:spacing w:after="60"/>
        <w:ind w:left="360" w:hanging="230"/>
      </w:pPr>
      <w:r>
        <w:t>IP assignment/license</w:t>
      </w:r>
    </w:p>
    <w:p>
      <w:pPr>
        <w:pStyle w:val="ListBullet"/>
        <w:spacing w:after="60"/>
        <w:ind w:left="360" w:hanging="230"/>
      </w:pPr>
      <w:r>
        <w:t>Confidentiality obligation</w:t>
      </w:r>
    </w:p>
    <w:p>
      <w:pPr>
        <w:pStyle w:val="Heading2"/>
      </w:pPr>
      <w:r>
        <w:t>15.29 Repository and Asset Control</w:t>
      </w:r>
    </w:p>
    <w:p>
      <w:r>
        <w:t>Operational IP protection also depends on controlling the systems where DRE assets reside.</w:t>
      </w:r>
    </w:p>
    <w:p>
      <w:pPr>
        <w:pStyle w:val="ListBullet"/>
        <w:spacing w:after="60"/>
        <w:ind w:left="360" w:hanging="230"/>
      </w:pPr>
      <w:r>
        <w:t>Source-code storage</w:t>
      </w:r>
    </w:p>
    <w:p>
      <w:pPr>
        <w:pStyle w:val="ListBullet"/>
        <w:spacing w:after="60"/>
        <w:ind w:left="360" w:hanging="230"/>
      </w:pPr>
      <w:r>
        <w:t>Development environments</w:t>
      </w:r>
    </w:p>
    <w:p>
      <w:pPr>
        <w:pStyle w:val="ListBullet"/>
        <w:spacing w:after="60"/>
        <w:ind w:left="360" w:hanging="230"/>
      </w:pPr>
      <w:r>
        <w:t>Azure</w:t>
      </w:r>
    </w:p>
    <w:p>
      <w:pPr>
        <w:pStyle w:val="ListBullet"/>
        <w:spacing w:after="60"/>
        <w:ind w:left="360" w:hanging="230"/>
      </w:pPr>
      <w:r>
        <w:t>Domains</w:t>
      </w:r>
    </w:p>
    <w:p>
      <w:pPr>
        <w:pStyle w:val="ListBullet"/>
        <w:spacing w:after="60"/>
        <w:ind w:left="360" w:hanging="230"/>
      </w:pPr>
      <w:r>
        <w:t>Product documentation</w:t>
      </w:r>
    </w:p>
    <w:p>
      <w:pPr>
        <w:pStyle w:val="ListBullet"/>
        <w:spacing w:after="60"/>
        <w:ind w:left="360" w:hanging="230"/>
      </w:pPr>
      <w:r>
        <w:t>Deployment artifacts</w:t>
      </w:r>
    </w:p>
    <w:p>
      <w:pPr>
        <w:pStyle w:val="ListBullet"/>
        <w:spacing w:after="60"/>
        <w:ind w:left="360" w:hanging="230"/>
      </w:pPr>
      <w:r>
        <w:t>Credentials</w:t>
      </w:r>
    </w:p>
    <w:p>
      <w:pPr>
        <w:pStyle w:val="ListBullet"/>
        <w:spacing w:after="60"/>
        <w:ind w:left="360" w:hanging="230"/>
      </w:pPr>
      <w:r>
        <w:t>Investor materials</w:t>
      </w:r>
    </w:p>
    <w:p>
      <w:pPr>
        <w:pStyle w:val="ListBullet"/>
        <w:spacing w:after="60"/>
        <w:ind w:left="360" w:hanging="230"/>
      </w:pPr>
      <w:r>
        <w:t>Customer configurations</w:t>
      </w:r>
    </w:p>
    <w:p>
      <w:pPr>
        <w:pStyle w:val="Heading2"/>
      </w:pPr>
      <w:r>
        <w:t>15.30 Version and Provenance Records</w:t>
      </w:r>
    </w:p>
    <w:p>
      <w:r>
        <w:t>DRE is evolving rapidly.</w:t>
      </w:r>
    </w:p>
    <w:p>
      <w:pPr>
        <w:pStyle w:val="ListBullet"/>
        <w:spacing w:after="60"/>
        <w:ind w:left="360" w:hanging="230"/>
      </w:pPr>
      <w:r>
        <w:t>Code</w:t>
      </w:r>
    </w:p>
    <w:p>
      <w:pPr>
        <w:pStyle w:val="ListBullet"/>
        <w:spacing w:after="60"/>
        <w:ind w:left="360" w:hanging="230"/>
      </w:pPr>
      <w:r>
        <w:t>Architecture</w:t>
      </w:r>
    </w:p>
    <w:p>
      <w:pPr>
        <w:pStyle w:val="ListBullet"/>
        <w:spacing w:after="60"/>
        <w:ind w:left="360" w:hanging="230"/>
      </w:pPr>
      <w:r>
        <w:t>Documentation</w:t>
      </w:r>
    </w:p>
    <w:p>
      <w:pPr>
        <w:pStyle w:val="ListBullet"/>
        <w:spacing w:after="60"/>
        <w:ind w:left="360" w:hanging="230"/>
      </w:pPr>
      <w:r>
        <w:t>Rules</w:t>
      </w:r>
    </w:p>
    <w:p>
      <w:pPr>
        <w:pStyle w:val="ListBullet"/>
        <w:spacing w:after="60"/>
        <w:ind w:left="360" w:hanging="230"/>
      </w:pPr>
      <w:r>
        <w:t>Diagrams</w:t>
      </w:r>
    </w:p>
    <w:p>
      <w:pPr>
        <w:pStyle w:val="ListBullet"/>
        <w:spacing w:after="60"/>
        <w:ind w:left="360" w:hanging="230"/>
      </w:pPr>
      <w:r>
        <w:t>Infrastructure</w:t>
      </w:r>
    </w:p>
    <w:p>
      <w:pPr>
        <w:pStyle w:val="ListBullet"/>
        <w:spacing w:after="60"/>
        <w:ind w:left="360" w:hanging="230"/>
      </w:pPr>
      <w:r>
        <w:t>Product requirements</w:t>
      </w:r>
    </w:p>
    <w:p>
      <w:pPr>
        <w:pStyle w:val="ListBullet"/>
        <w:spacing w:after="60"/>
        <w:ind w:left="360" w:hanging="230"/>
      </w:pPr>
      <w:r>
        <w:t>Commercial materials</w:t>
      </w:r>
    </w:p>
    <w:p>
      <w:pPr>
        <w:pStyle w:val="Heading2"/>
      </w:pPr>
      <w:r>
        <w:t>15.31 Investor Diligence</w:t>
      </w:r>
    </w:p>
    <w:p>
      <w:r>
        <w:t>A future investor should be able to receive a straightforward answer to:</w:t>
      </w:r>
    </w:p>
    <w:p>
      <w:pPr>
        <w:pStyle w:val="ListBullet"/>
        <w:spacing w:after="60"/>
        <w:ind w:left="360" w:hanging="230"/>
      </w:pPr>
      <w:r>
        <w:t>Who owns DRE?</w:t>
      </w:r>
    </w:p>
    <w:p>
      <w:pPr>
        <w:pStyle w:val="ListBullet"/>
        <w:spacing w:after="60"/>
        <w:ind w:left="360" w:hanging="230"/>
      </w:pPr>
      <w:r>
        <w:t>Does Engineered Launch own the code it is presenting?</w:t>
      </w:r>
    </w:p>
    <w:p>
      <w:pPr>
        <w:pStyle w:val="ListBullet"/>
        <w:spacing w:after="60"/>
        <w:ind w:left="360" w:hanging="230"/>
      </w:pPr>
      <w:r>
        <w:t>Are there contributors with competing rights?</w:t>
      </w:r>
    </w:p>
    <w:p>
      <w:pPr>
        <w:pStyle w:val="ListBullet"/>
        <w:spacing w:after="60"/>
        <w:ind w:left="360" w:hanging="230"/>
      </w:pPr>
      <w:r>
        <w:t>What third-party licenses apply?</w:t>
      </w:r>
    </w:p>
    <w:p>
      <w:pPr>
        <w:pStyle w:val="ListBullet"/>
        <w:spacing w:after="60"/>
        <w:ind w:left="360" w:hanging="230"/>
      </w:pPr>
      <w:r>
        <w:t>What customer material is embedded in the product?</w:t>
      </w:r>
    </w:p>
    <w:p>
      <w:pPr>
        <w:pStyle w:val="ListBullet"/>
        <w:spacing w:after="60"/>
        <w:ind w:left="360" w:hanging="230"/>
      </w:pPr>
      <w:r>
        <w:t>Does the company control the domain and infrastructure?</w:t>
      </w:r>
    </w:p>
    <w:p>
      <w:pPr>
        <w:pStyle w:val="ListBullet"/>
        <w:spacing w:after="60"/>
        <w:ind w:left="360" w:hanging="230"/>
      </w:pPr>
      <w:r>
        <w:t>What brand protection exists?</w:t>
      </w:r>
    </w:p>
    <w:p>
      <w:pPr>
        <w:pStyle w:val="ListBullet"/>
        <w:spacing w:after="60"/>
        <w:ind w:left="360" w:hanging="230"/>
      </w:pPr>
      <w:r>
        <w:t>What contractual obligations restrict commercialization?</w:t>
      </w:r>
    </w:p>
    <w:p>
      <w:pPr>
        <w:pStyle w:val="Heading2"/>
      </w:pPr>
      <w:r>
        <w:t>15.32 Acquisition Readiness</w:t>
      </w:r>
    </w:p>
    <w:p>
      <w:r>
        <w:t>The same discipline supports potential future acquisition.</w:t>
      </w:r>
    </w:p>
    <w:p>
      <w:pPr>
        <w:pStyle w:val="ListBullet"/>
        <w:spacing w:after="60"/>
        <w:ind w:left="360" w:hanging="230"/>
      </w:pPr>
      <w:r>
        <w:t>Source code</w:t>
      </w:r>
    </w:p>
    <w:p>
      <w:pPr>
        <w:pStyle w:val="ListBullet"/>
        <w:spacing w:after="60"/>
        <w:ind w:left="360" w:hanging="230"/>
      </w:pPr>
      <w:r>
        <w:t>Product architecture</w:t>
      </w:r>
    </w:p>
    <w:p>
      <w:pPr>
        <w:pStyle w:val="ListBullet"/>
        <w:spacing w:after="60"/>
        <w:ind w:left="360" w:hanging="230"/>
      </w:pPr>
      <w:r>
        <w:t>Documentation</w:t>
      </w:r>
    </w:p>
    <w:p>
      <w:pPr>
        <w:pStyle w:val="ListBullet"/>
        <w:spacing w:after="60"/>
        <w:ind w:left="360" w:hanging="230"/>
      </w:pPr>
      <w:r>
        <w:t>Brand</w:t>
      </w:r>
    </w:p>
    <w:p>
      <w:pPr>
        <w:pStyle w:val="ListBullet"/>
        <w:spacing w:after="60"/>
        <w:ind w:left="360" w:hanging="230"/>
      </w:pPr>
      <w:r>
        <w:t>Domains</w:t>
      </w:r>
    </w:p>
    <w:p>
      <w:pPr>
        <w:pStyle w:val="ListBullet"/>
        <w:spacing w:after="60"/>
        <w:ind w:left="360" w:hanging="230"/>
      </w:pPr>
      <w:r>
        <w:t>Customer agreements</w:t>
      </w:r>
    </w:p>
    <w:p>
      <w:pPr>
        <w:pStyle w:val="ListBullet"/>
        <w:spacing w:after="60"/>
        <w:ind w:left="360" w:hanging="230"/>
      </w:pPr>
      <w:r>
        <w:t>Revenue</w:t>
      </w:r>
    </w:p>
    <w:p>
      <w:pPr>
        <w:pStyle w:val="ListBullet"/>
        <w:spacing w:after="60"/>
        <w:ind w:left="360" w:hanging="230"/>
      </w:pPr>
      <w:r>
        <w:t>Deployment systems</w:t>
      </w:r>
    </w:p>
    <w:p>
      <w:pPr>
        <w:pStyle w:val="ListBullet"/>
        <w:spacing w:after="60"/>
        <w:ind w:left="360" w:hanging="230"/>
      </w:pPr>
      <w:r>
        <w:t>Data rights</w:t>
      </w:r>
    </w:p>
    <w:p>
      <w:pPr>
        <w:pStyle w:val="ListBullet"/>
        <w:spacing w:after="60"/>
        <w:ind w:left="360" w:hanging="230"/>
      </w:pPr>
      <w:r>
        <w:t>IP rights</w:t>
      </w:r>
    </w:p>
    <w:p>
      <w:pPr>
        <w:pStyle w:val="ListBullet"/>
        <w:spacing w:after="60"/>
        <w:ind w:left="360" w:hanging="230"/>
      </w:pPr>
      <w:r>
        <w:t>Marketplace position</w:t>
      </w:r>
    </w:p>
    <w:p>
      <w:pPr>
        <w:pStyle w:val="ListBullet"/>
        <w:spacing w:after="60"/>
        <w:ind w:left="360" w:hanging="230"/>
      </w:pPr>
      <w:r>
        <w:t>Microsoft relationships</w:t>
      </w:r>
    </w:p>
    <w:p>
      <w:pPr>
        <w:pStyle w:val="Heading2"/>
      </w:pPr>
      <w:r>
        <w:t>15.33 Immediate IP Priorities</w:t>
      </w:r>
    </w:p>
    <w:p>
      <w:r>
        <w:t>The immediate IP/company-structure priorities are:</w:t>
      </w:r>
    </w:p>
    <w:p>
      <w:pPr>
        <w:pStyle w:val="ListBullet"/>
        <w:spacing w:after="60"/>
        <w:ind w:left="360" w:hanging="230"/>
      </w:pPr>
      <w:r>
        <w:t>1. Maintain consistent Engineered Launch ownership of DRE.</w:t>
      </w:r>
    </w:p>
    <w:p>
      <w:pPr>
        <w:pStyle w:val="ListBullet"/>
        <w:spacing w:after="60"/>
        <w:ind w:left="360" w:hanging="230"/>
      </w:pPr>
      <w:r>
        <w:t>2. Preserve source-code and document provenance.</w:t>
      </w:r>
    </w:p>
    <w:p>
      <w:pPr>
        <w:pStyle w:val="ListBullet"/>
        <w:spacing w:after="60"/>
        <w:ind w:left="360" w:hanging="230"/>
      </w:pPr>
      <w:r>
        <w:t>3. Maintain separation between reusable DRE IP and customer-owned data/policies.</w:t>
      </w:r>
    </w:p>
    <w:p>
      <w:pPr>
        <w:pStyle w:val="ListBullet"/>
        <w:spacing w:after="60"/>
        <w:ind w:left="360" w:hanging="230"/>
      </w:pPr>
      <w:r>
        <w:t>4. Inventory important third-party/open-source dependencies.</w:t>
      </w:r>
    </w:p>
    <w:p>
      <w:pPr>
        <w:pStyle w:val="ListBullet"/>
        <w:spacing w:after="60"/>
        <w:ind w:left="360" w:hanging="230"/>
      </w:pPr>
      <w:r>
        <w:t>5. Maintain control of DRE domains and product accounts.</w:t>
      </w:r>
    </w:p>
    <w:p>
      <w:pPr>
        <w:pStyle w:val="ListBullet"/>
        <w:spacing w:after="60"/>
        <w:ind w:left="360" w:hanging="230"/>
      </w:pPr>
      <w:r>
        <w:t>6. Keep company/product identity consistent across Azure, Microsoft, website, investor, and commercial materials.</w:t>
      </w:r>
    </w:p>
    <w:p>
      <w:pPr>
        <w:pStyle w:val="ListBullet"/>
        <w:spacing w:after="60"/>
        <w:ind w:left="360" w:hanging="230"/>
      </w:pPr>
      <w:r>
        <w:t>7. Establish appropriate agreements before design-partner/customer work creates ownership ambiguity.</w:t>
      </w:r>
    </w:p>
    <w:p>
      <w:pPr>
        <w:pStyle w:val="ListBullet"/>
        <w:spacing w:after="60"/>
        <w:ind w:left="360" w:hanging="230"/>
      </w:pPr>
      <w:r>
        <w:t>8. Evaluate final brand/trademark protection once naming is settled.</w:t>
      </w:r>
    </w:p>
    <w:p>
      <w:pPr>
        <w:pStyle w:val="ListBullet"/>
        <w:spacing w:after="60"/>
        <w:ind w:left="360" w:hanging="230"/>
      </w:pPr>
      <w:r>
        <w:t>9. Preserve confidential internal material deliberately.</w:t>
      </w:r>
    </w:p>
    <w:p>
      <w:pPr>
        <w:pStyle w:val="ListBullet"/>
        <w:spacing w:after="60"/>
        <w:ind w:left="360" w:hanging="230"/>
      </w:pPr>
      <w:r>
        <w:t>10. Build an IP record capable of surviving investor and customer diligence.</w:t>
      </w:r>
    </w:p>
    <w:p>
      <w:pPr>
        <w:pStyle w:val="Heading2"/>
      </w:pPr>
      <w:r>
        <w:t>15.34 Intellectual-Property Principle</w:t>
      </w:r>
    </w:p>
    <w:p>
      <w:r>
        <w:t>The governing principle is:</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GOVERNING PRINCIPLE</w:t>
              <w:br/>
            </w:r>
            <w:r>
              <w:t>The customer owns and controls what belongs to the customer. Engineered Launch owns and develops the reusable DRE product. Customer-specific configuration remains distinguishable from core product architecture. Third-party technology remains attributable to its actual owner and license.</w:t>
            </w:r>
          </w:p>
        </w:tc>
      </w:tr>
    </w:tbl>
    <w:p/>
    <w:p>
      <w:r>
        <w:t>As DRE grows, every important asset should have an answer to three questions:</w:t>
      </w:r>
    </w:p>
    <w:p>
      <w:pPr>
        <w:pStyle w:val="ListBullet"/>
        <w:spacing w:after="60"/>
        <w:ind w:left="360" w:hanging="230"/>
      </w:pPr>
      <w:r>
        <w:t>What is it?</w:t>
      </w:r>
    </w:p>
    <w:p>
      <w:pPr>
        <w:pStyle w:val="ListBullet"/>
        <w:spacing w:after="60"/>
        <w:ind w:left="360" w:hanging="230"/>
      </w:pPr>
      <w:r>
        <w:t>Where did it come from?</w:t>
      </w:r>
    </w:p>
    <w:p>
      <w:pPr>
        <w:pStyle w:val="ListBullet"/>
        <w:spacing w:after="60"/>
        <w:ind w:left="360" w:hanging="230"/>
      </w:pPr>
      <w:r>
        <w:t>Who has the right to use and commercialize it?</w:t>
      </w:r>
    </w:p>
    <w:p>
      <w:r>
        <w:t>A clean answer to those questions turns DRE from a collection of development work into an intellectual-property estate capable of supporting customers, recurring licensing, Microsoft Marketplace distribution, investment, and future company value.</w:t>
      </w:r>
    </w:p>
    <w:p>
      <w:r>
        <w:br w:type="page"/>
      </w:r>
    </w:p>
    <w:p>
      <w:pPr>
        <w:pStyle w:val="Heading1"/>
      </w:pPr>
      <w:r>
        <w:t>16. Deployment Roadmap</w:t>
      </w:r>
    </w:p>
    <w:p>
      <w:r>
        <w:t>DRE’s deployment roadmap reflects the product’s current position, rather than the earlier time-based development sequence.</w:t>
      </w:r>
    </w:p>
    <w:p>
      <w:r>
        <w:t>The earlier architecture work contemplated a longer progression through security foundations, sandbox runtimes, consensus, storage, compliance validation, and market launch. DRE has moved beyond that planning sequence unevenly: substantial deterministic processing, orchestration, consensus logic, Azure infrastructure definitions, validation methodology, documentation, and demonstration components already exist, while portions of the intended enterprise Azure environment remain unimplemented. LegalFirewall_Azure_Deployment_Process_Guide_main_bicep.docx</w:t>
      </w:r>
    </w:p>
    <w:p>
      <w:r>
        <w:t>The roadmap should therefore be organized around demonstrable exit conditions, not arbitrary week numbers.</w:t>
      </w:r>
    </w:p>
    <w:p>
      <w:r>
        <w:t>The four deployment phases are:</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PHASE</w:t>
            </w:r>
          </w:p>
        </w:tc>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NAME</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6"/>
              </w:rPr>
              <w:t>1</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6"/>
              </w:rPr>
              <w:t>Demonstrable DRE</w:t>
            </w:r>
          </w:p>
        </w:tc>
      </w:tr>
      <w:tr>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6"/>
              </w:rPr>
              <w:t>2</w:t>
            </w:r>
          </w:p>
        </w:tc>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6"/>
              </w:rPr>
              <w:t>Live Validation &amp; Customer Evidence</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6"/>
              </w:rPr>
              <w:t>3</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6"/>
              </w:rPr>
              <w:t>Product / Documentation Completion</w:t>
            </w:r>
          </w:p>
        </w:tc>
      </w:tr>
      <w:tr>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6"/>
              </w:rPr>
              <w:t>4</w:t>
            </w:r>
          </w:p>
        </w:tc>
        <w:tc>
          <w:tcPr>
            <w:tcW w:type="dxa" w:w="4939"/>
            <w:vAlign w:val="center"/>
            <w:tcMar>
              <w:top w:w="110" w:type="dxa"/>
              <w:start w:w="110" w:type="dxa"/>
              <w:bottom w:w="110" w:type="dxa"/>
              <w:end w:w="110" w:type="dxa"/>
            </w:tcMar>
            <w:shd w:fill="F4F7F9"/>
          </w:tcPr>
          <w:p>
            <w:pPr>
              <w:spacing w:after="0"/>
            </w:pPr>
            <w:r/>
            <w:r>
              <w:rPr>
                <w:rFonts w:ascii="Aptos" w:hAnsi="Aptos"/>
                <w:b w:val="0"/>
                <w:color w:val="24313C"/>
                <w:sz w:val="16"/>
              </w:rPr>
              <w:t>Enterprise Hardening &amp; Commercial Deployment</w:t>
            </w:r>
          </w:p>
        </w:tc>
      </w:tr>
    </w:tbl>
    <w:p/>
    <w:p>
      <w:r>
        <w:t>These phases overlap where appropriate. Product development, customer discovery, Azure development, documentation, investor activity, and Microsoft progression do not need to wait for one another unnecessarily.</w:t>
      </w:r>
    </w:p>
    <w:p>
      <w:r>
        <w:t>What matters is maintaining a clear distinction between what DRE demonstrates now, what customer evidence establishes next, what remains incomplete, and what must be proven before enterprise production claims are made.</w:t>
      </w:r>
    </w:p>
    <w:p>
      <w:pPr>
        <w:pStyle w:val="Heading2"/>
      </w:pPr>
      <w:r>
        <w:t>16.1 Phase 1 — Demonstrable DRE</w:t>
      </w:r>
    </w:p>
    <w:p>
      <w:r>
        <w:t>The immediate objective is to make the core DRE proposition observable.</w:t>
      </w:r>
    </w:p>
    <w:p>
      <w:r>
        <w:t>The product already has meaningful component-level foundations. Phase 1 assembles those foundations into something another person can actually use and evaluate.</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PHASE 1 CENTER</w:t>
              <w:br/>
            </w:r>
            <w:r>
              <w:t>One legal-billing file in → actual DRE processing → two understandable result files out.</w:t>
            </w:r>
          </w:p>
        </w:tc>
      </w:tr>
    </w:tbl>
    <w:p/>
    <w:p>
      <w:pPr>
        <w:pStyle w:val="Heading3"/>
      </w:pPr>
      <w:r>
        <w:t>16.1.1 Phase 1 Objective</w:t>
      </w:r>
    </w:p>
    <w:p>
      <w:r>
        <w:t>The objective is a working demonstration capable of proving the essential DRE workflow without representing itself as a finished enterprise deployment.</w:t>
      </w:r>
    </w:p>
    <w:p>
      <w:pPr>
        <w:pStyle w:val="ListBullet"/>
        <w:spacing w:after="60"/>
        <w:ind w:left="360" w:hanging="230"/>
      </w:pPr>
      <w:r>
        <w:t>1. Arrive at DRE.</w:t>
      </w:r>
    </w:p>
    <w:p>
      <w:pPr>
        <w:pStyle w:val="ListBullet"/>
        <w:spacing w:after="60"/>
        <w:ind w:left="360" w:hanging="230"/>
      </w:pPr>
      <w:r>
        <w:t>2. Understand what it does.</w:t>
      </w:r>
    </w:p>
    <w:p>
      <w:pPr>
        <w:pStyle w:val="ListBullet"/>
        <w:spacing w:after="60"/>
        <w:ind w:left="360" w:hanging="230"/>
      </w:pPr>
      <w:r>
        <w:t>3. Obtain the supplied synthetic legal-billing sample.</w:t>
      </w:r>
    </w:p>
    <w:p>
      <w:pPr>
        <w:pStyle w:val="ListBullet"/>
        <w:spacing w:after="60"/>
        <w:ind w:left="360" w:hanging="230"/>
      </w:pPr>
      <w:r>
        <w:t>4. Select or drag the sample into the demo.</w:t>
      </w:r>
    </w:p>
    <w:p>
      <w:pPr>
        <w:pStyle w:val="ListBullet"/>
        <w:spacing w:after="60"/>
        <w:ind w:left="360" w:hanging="230"/>
      </w:pPr>
      <w:r>
        <w:t>5. Initiate actual processing.</w:t>
      </w:r>
    </w:p>
    <w:p>
      <w:pPr>
        <w:pStyle w:val="ListBullet"/>
        <w:spacing w:after="60"/>
        <w:ind w:left="360" w:hanging="230"/>
      </w:pPr>
      <w:r>
        <w:t>6. See the resulting review counts.</w:t>
      </w:r>
    </w:p>
    <w:p>
      <w:pPr>
        <w:pStyle w:val="ListBullet"/>
        <w:spacing w:after="60"/>
        <w:ind w:left="360" w:hanging="230"/>
      </w:pPr>
      <w:r>
        <w:t>7. Understand what cleared automated review.</w:t>
      </w:r>
    </w:p>
    <w:p>
      <w:pPr>
        <w:pStyle w:val="ListBullet"/>
        <w:spacing w:after="60"/>
        <w:ind w:left="360" w:hanging="230"/>
      </w:pPr>
      <w:r>
        <w:t>8. Understand what requires human attention.</w:t>
      </w:r>
    </w:p>
    <w:p>
      <w:pPr>
        <w:pStyle w:val="ListBullet"/>
        <w:spacing w:after="60"/>
        <w:ind w:left="360" w:hanging="230"/>
      </w:pPr>
      <w:r>
        <w:t>9. Inspect useful transaction-level information.</w:t>
      </w:r>
    </w:p>
    <w:p>
      <w:pPr>
        <w:pStyle w:val="ListBullet"/>
        <w:spacing w:after="60"/>
        <w:ind w:left="360" w:hanging="230"/>
      </w:pPr>
      <w:r>
        <w:t>10. Download the two result populations.</w:t>
      </w:r>
    </w:p>
    <w:p>
      <w:pPr>
        <w:pStyle w:val="ListBullet"/>
        <w:spacing w:after="60"/>
        <w:ind w:left="360" w:hanging="230"/>
      </w:pPr>
      <w:r>
        <w:t>11. Provide feedback or continue into early access.</w:t>
      </w:r>
    </w:p>
    <w:p>
      <w:pPr>
        <w:pStyle w:val="Heading3"/>
      </w:pPr>
      <w:r>
        <w:t>16.1.2 Product Surface</w:t>
      </w:r>
    </w:p>
    <w:p>
      <w:r>
        <w:t>Phase 1 needs a coherent public product surface consisting of:</w:t>
      </w:r>
    </w:p>
    <w:p>
      <w:pPr>
        <w:pStyle w:val="ListBullet"/>
        <w:spacing w:after="60"/>
        <w:ind w:left="360" w:hanging="230"/>
      </w:pPr>
      <w:r>
        <w:t>DRE overview</w:t>
      </w:r>
    </w:p>
    <w:p>
      <w:pPr>
        <w:pStyle w:val="ListBullet"/>
        <w:spacing w:after="60"/>
        <w:ind w:left="360" w:hanging="230"/>
      </w:pPr>
      <w:r>
        <w:t>Strong customer-problem positioning</w:t>
      </w:r>
    </w:p>
    <w:p>
      <w:pPr>
        <w:pStyle w:val="ListBullet"/>
        <w:spacing w:after="60"/>
        <w:ind w:left="360" w:hanging="230"/>
      </w:pPr>
      <w:r>
        <w:t>Product explanation</w:t>
      </w:r>
    </w:p>
    <w:p>
      <w:pPr>
        <w:pStyle w:val="ListBullet"/>
        <w:spacing w:after="60"/>
        <w:ind w:left="360" w:hanging="230"/>
      </w:pPr>
      <w:r>
        <w:t>Current source-backed technical pages</w:t>
      </w:r>
    </w:p>
    <w:p>
      <w:pPr>
        <w:pStyle w:val="ListBullet"/>
        <w:spacing w:after="60"/>
        <w:ind w:left="360" w:hanging="230"/>
      </w:pPr>
      <w:r>
        <w:t>Working demonstration</w:t>
      </w:r>
    </w:p>
    <w:p>
      <w:pPr>
        <w:pStyle w:val="ListBullet"/>
        <w:spacing w:after="60"/>
        <w:ind w:left="360" w:hanging="230"/>
      </w:pPr>
      <w:r>
        <w:t>Corresponding documentation</w:t>
      </w:r>
    </w:p>
    <w:p>
      <w:pPr>
        <w:pStyle w:val="ListBullet"/>
        <w:spacing w:after="60"/>
        <w:ind w:left="360" w:hanging="230"/>
      </w:pPr>
      <w:r>
        <w:t>Responsive explanatory diagrams</w:t>
      </w:r>
    </w:p>
    <w:p>
      <w:pPr>
        <w:pStyle w:val="ListBullet"/>
        <w:spacing w:after="60"/>
        <w:ind w:left="360" w:hanging="230"/>
      </w:pPr>
      <w:r>
        <w:t>Feedback mechanism</w:t>
      </w:r>
    </w:p>
    <w:p>
      <w:pPr>
        <w:pStyle w:val="ListBullet"/>
        <w:spacing w:after="60"/>
        <w:ind w:left="360" w:hanging="230"/>
      </w:pPr>
      <w:r>
        <w:t>Waitlist / early-access path</w:t>
      </w:r>
    </w:p>
    <w:p>
      <w:pPr>
        <w:pStyle w:val="Heading3"/>
      </w:pPr>
      <w:r>
        <w:t>16.1.3 Demo Data Boundary</w:t>
      </w:r>
    </w:p>
    <w:p>
      <w:r>
        <w:t>The public demonstration uses supplied synthetic legal-billing data.</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PUBLIC DEMO</w:t>
            </w:r>
          </w:p>
        </w:tc>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CUSTOMER OPERATION</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6"/>
              </w:rPr>
              <w:t>Supplied synthetic data.</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6"/>
              </w:rPr>
              <w:t>Actual billing data inside the customer’s Azure environment.</w:t>
            </w:r>
          </w:p>
        </w:tc>
      </w:tr>
    </w:tbl>
    <w:p/>
    <w:p>
      <w:pPr>
        <w:pStyle w:val="Heading3"/>
      </w:pPr>
      <w:r>
        <w:t>16.1.4 Demonstrated Processing</w:t>
      </w:r>
    </w:p>
    <w:p>
      <w:r>
        <w:t>The demonstration should exercise the processing architecture rather than merely present predetermined results.</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CURRENT SEQUENCE</w:t>
              <w:br/>
            </w:r>
            <w:r>
              <w:t>Billing transaction → deterministic evaluation → early exit where semantic review is unnecessary → consensus where required → deterministic routing → audit receipt / result state.</w:t>
            </w:r>
          </w:p>
        </w:tc>
      </w:tr>
    </w:tbl>
    <w:p/>
    <w:p>
      <w:r>
        <w:t>The current validation material also contains a three-transaction synthetic dataset intended for deterministic engine execution. DRE_runtests_ts_Relevance_and_Infrastructure_Validation.docx</w:t>
      </w:r>
    </w:p>
    <w:p>
      <w:pPr>
        <w:pStyle w:val="Heading3"/>
      </w:pPr>
      <w:r>
        <w:t>16.1.5 Phase 1 Output</w:t>
      </w:r>
    </w:p>
    <w:p>
      <w:r>
        <w:t>The simplified evaluator-facing output is:</w:t>
      </w:r>
    </w:p>
    <w:p>
      <w:pPr>
        <w:pStyle w:val="ListBullet"/>
        <w:spacing w:after="60"/>
        <w:ind w:left="360" w:hanging="230"/>
      </w:pPr>
      <w:r>
        <w:t>PASSED CONSENSUS</w:t>
      </w:r>
    </w:p>
    <w:p>
      <w:pPr>
        <w:pStyle w:val="ListBullet"/>
        <w:spacing w:after="60"/>
        <w:ind w:left="360" w:hanging="230"/>
      </w:pPr>
      <w:r>
        <w:t>HUMAN REVIEW</w:t>
      </w:r>
    </w:p>
    <w:p>
      <w:r>
        <w:t>The internal architecture can remain substantially more sophisticated than those labels.</w:t>
      </w:r>
    </w:p>
    <w:p>
      <w:r>
        <w:t>The purpose of the demonstration is to make the complexity useful without making the evaluator operate it.</w:t>
      </w:r>
    </w:p>
    <w:p>
      <w:pPr>
        <w:pStyle w:val="Heading3"/>
      </w:pPr>
      <w:r>
        <w:t>16.1.6 Phase 1 Documentation</w:t>
      </w:r>
    </w:p>
    <w:p>
      <w:r>
        <w:t>The current DRE documents provide the basis for the initial product pages.</w:t>
      </w:r>
    </w:p>
    <w:p>
      <w:pPr>
        <w:pStyle w:val="Heading3"/>
      </w:pPr>
      <w:r>
        <w:t>16.1.7 Phase 1 Exit Condition</w:t>
      </w:r>
    </w:p>
    <w:p>
      <w:r>
        <w:t>Phase 1 is complete when:</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EXIT CONDITION</w:t>
              <w:br/>
            </w:r>
            <w:r>
              <w:t>An external evaluator can reach DRE, understand the product, process the supplied synthetic legal-billing sample through an actual DRE workflow, receive the Passed Consensus and Human Review outputs, inspect understandable results, download them, and provide feedback.</w:t>
            </w:r>
          </w:p>
        </w:tc>
      </w:tr>
    </w:tbl>
    <w:p/>
    <w:p>
      <w:r>
        <w:t>That is the first major deployment threshold.</w:t>
      </w:r>
    </w:p>
    <w:p>
      <w:r>
        <w:t>DRE becomes demonstrable.</w:t>
      </w:r>
    </w:p>
    <w:p>
      <w:pPr>
        <w:pStyle w:val="Heading2"/>
      </w:pPr>
      <w:r>
        <w:t>16.2 Phase 2 — Live Validation &amp; Customer Evidence</w:t>
      </w:r>
    </w:p>
    <w:p>
      <w:r>
        <w:t>Once DRE can be demonstrated, the next phase is not immediately to build every conceivable enterprise feature.</w:t>
      </w:r>
    </w:p>
    <w:p>
      <w:r>
        <w:t>The next question is:</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PHASE 2 QUESTION</w:t>
              <w:br/>
            </w:r>
            <w:r>
              <w:t>What happens when real people use it?</w:t>
            </w:r>
          </w:p>
        </w:tc>
      </w:tr>
    </w:tbl>
    <w:p/>
    <w:p>
      <w:r>
        <w:t>Phase 2 deliberately places DRE in front of evaluators so subsequent development is informed by evidence rather than exclusively by internal assumptions.</w:t>
      </w:r>
    </w:p>
    <w:p>
      <w:pPr>
        <w:pStyle w:val="Heading3"/>
      </w:pPr>
      <w:r>
        <w:t>16.2.1 Phase 2 Objective</w:t>
      </w:r>
    </w:p>
    <w:p>
      <w:r>
        <w:t>The objective is to generate real external evidence around:</w:t>
      </w:r>
    </w:p>
    <w:p>
      <w:pPr>
        <w:pStyle w:val="ListBullet"/>
        <w:spacing w:after="60"/>
        <w:ind w:left="360" w:hanging="230"/>
      </w:pPr>
      <w:r>
        <w:t>Product comprehension</w:t>
      </w:r>
    </w:p>
    <w:p>
      <w:pPr>
        <w:pStyle w:val="ListBullet"/>
        <w:spacing w:after="60"/>
        <w:ind w:left="360" w:hanging="230"/>
      </w:pPr>
      <w:r>
        <w:t>Workflow usefulness</w:t>
      </w:r>
    </w:p>
    <w:p>
      <w:pPr>
        <w:pStyle w:val="ListBullet"/>
        <w:spacing w:after="60"/>
        <w:ind w:left="360" w:hanging="230"/>
      </w:pPr>
      <w:r>
        <w:t>Output usefulness</w:t>
      </w:r>
    </w:p>
    <w:p>
      <w:pPr>
        <w:pStyle w:val="ListBullet"/>
        <w:spacing w:after="60"/>
        <w:ind w:left="360" w:hanging="230"/>
      </w:pPr>
      <w:r>
        <w:t>Missing capabilities</w:t>
      </w:r>
    </w:p>
    <w:p>
      <w:pPr>
        <w:pStyle w:val="ListBullet"/>
        <w:spacing w:after="60"/>
        <w:ind w:left="360" w:hanging="230"/>
      </w:pPr>
      <w:r>
        <w:t>Customer objections</w:t>
      </w:r>
    </w:p>
    <w:p>
      <w:pPr>
        <w:pStyle w:val="ListBullet"/>
        <w:spacing w:after="60"/>
        <w:ind w:left="360" w:hanging="230"/>
      </w:pPr>
      <w:r>
        <w:t>Legal-operations requirements</w:t>
      </w:r>
    </w:p>
    <w:p>
      <w:pPr>
        <w:pStyle w:val="ListBullet"/>
        <w:spacing w:after="60"/>
        <w:ind w:left="360" w:hanging="230"/>
      </w:pPr>
      <w:r>
        <w:t>Deployment concerns</w:t>
      </w:r>
    </w:p>
    <w:p>
      <w:pPr>
        <w:pStyle w:val="ListBullet"/>
        <w:spacing w:after="60"/>
        <w:ind w:left="360" w:hanging="230"/>
      </w:pPr>
      <w:r>
        <w:t>Security concerns</w:t>
      </w:r>
    </w:p>
    <w:p>
      <w:pPr>
        <w:pStyle w:val="ListBullet"/>
        <w:spacing w:after="60"/>
        <w:ind w:left="360" w:hanging="230"/>
      </w:pPr>
      <w:r>
        <w:t>Commercial interest</w:t>
      </w:r>
    </w:p>
    <w:p>
      <w:pPr>
        <w:pStyle w:val="ListBullet"/>
        <w:spacing w:after="60"/>
        <w:ind w:left="360" w:hanging="230"/>
      </w:pPr>
      <w:r>
        <w:t>Willingness to continue evaluating DRE</w:t>
      </w:r>
    </w:p>
    <w:p>
      <w:pPr>
        <w:pStyle w:val="Heading3"/>
      </w:pPr>
      <w:r>
        <w:t>16.2.2 Evaluator Exposure</w:t>
      </w:r>
    </w:p>
    <w:p>
      <w:r>
        <w:t>DRE can be placed in front of relevant evaluators through channels including:</w:t>
      </w:r>
    </w:p>
    <w:p>
      <w:pPr>
        <w:pStyle w:val="ListBullet"/>
        <w:spacing w:after="60"/>
        <w:ind w:left="360" w:hanging="230"/>
      </w:pPr>
      <w:r>
        <w:t>Direct legal-operations outreach</w:t>
      </w:r>
    </w:p>
    <w:p>
      <w:pPr>
        <w:pStyle w:val="ListBullet"/>
        <w:spacing w:after="60"/>
        <w:ind w:left="360" w:hanging="230"/>
      </w:pPr>
      <w:r>
        <w:t>Corporate legal contacts</w:t>
      </w:r>
    </w:p>
    <w:p>
      <w:pPr>
        <w:pStyle w:val="ListBullet"/>
        <w:spacing w:after="60"/>
        <w:ind w:left="360" w:hanging="230"/>
      </w:pPr>
      <w:r>
        <w:t>Reddit</w:t>
      </w:r>
    </w:p>
    <w:p>
      <w:pPr>
        <w:pStyle w:val="ListBullet"/>
        <w:spacing w:after="60"/>
        <w:ind w:left="360" w:hanging="230"/>
      </w:pPr>
      <w:r>
        <w:t>Professional networks</w:t>
      </w:r>
    </w:p>
    <w:p>
      <w:pPr>
        <w:pStyle w:val="ListBullet"/>
        <w:spacing w:after="60"/>
        <w:ind w:left="360" w:hanging="230"/>
      </w:pPr>
      <w:r>
        <w:t>Investor introductions</w:t>
      </w:r>
    </w:p>
    <w:p>
      <w:pPr>
        <w:pStyle w:val="ListBullet"/>
        <w:spacing w:after="60"/>
        <w:ind w:left="360" w:hanging="230"/>
      </w:pPr>
      <w:r>
        <w:t>Microsoft-related relationships</w:t>
      </w:r>
    </w:p>
    <w:p>
      <w:pPr>
        <w:pStyle w:val="ListBullet"/>
        <w:spacing w:after="60"/>
        <w:ind w:left="360" w:hanging="230"/>
      </w:pPr>
      <w:r>
        <w:t>Early-access invitations</w:t>
      </w:r>
    </w:p>
    <w:p>
      <w:pPr>
        <w:pStyle w:val="Heading3"/>
      </w:pPr>
      <w:r>
        <w:t>16.2.3 Usage Evidence</w:t>
      </w:r>
    </w:p>
    <w:p>
      <w:r>
        <w:t>Phase 2 begins collecting behavioral evidence such as:</w:t>
      </w:r>
    </w:p>
    <w:p>
      <w:pPr>
        <w:pStyle w:val="ListBullet"/>
        <w:spacing w:after="60"/>
        <w:ind w:left="360" w:hanging="230"/>
      </w:pPr>
      <w:r>
        <w:t>Demo starts</w:t>
      </w:r>
    </w:p>
    <w:p>
      <w:pPr>
        <w:pStyle w:val="ListBullet"/>
        <w:spacing w:after="60"/>
        <w:ind w:left="360" w:hanging="230"/>
      </w:pPr>
      <w:r>
        <w:t>Completed runs</w:t>
      </w:r>
    </w:p>
    <w:p>
      <w:pPr>
        <w:pStyle w:val="ListBullet"/>
        <w:spacing w:after="60"/>
        <w:ind w:left="360" w:hanging="230"/>
      </w:pPr>
      <w:r>
        <w:t>Result inspection</w:t>
      </w:r>
    </w:p>
    <w:p>
      <w:pPr>
        <w:pStyle w:val="ListBullet"/>
        <w:spacing w:after="60"/>
        <w:ind w:left="360" w:hanging="230"/>
      </w:pPr>
      <w:r>
        <w:t>Result downloads</w:t>
      </w:r>
    </w:p>
    <w:p>
      <w:pPr>
        <w:pStyle w:val="ListBullet"/>
        <w:spacing w:after="60"/>
        <w:ind w:left="360" w:hanging="230"/>
      </w:pPr>
      <w:r>
        <w:t>Feedback submissions</w:t>
      </w:r>
    </w:p>
    <w:p>
      <w:pPr>
        <w:pStyle w:val="ListBullet"/>
        <w:spacing w:after="60"/>
        <w:ind w:left="360" w:hanging="230"/>
      </w:pPr>
      <w:r>
        <w:t>Waitlist registrations</w:t>
      </w:r>
    </w:p>
    <w:p>
      <w:pPr>
        <w:pStyle w:val="ListBullet"/>
        <w:spacing w:after="60"/>
        <w:ind w:left="360" w:hanging="230"/>
      </w:pPr>
      <w:r>
        <w:t>Repeat engagement</w:t>
      </w:r>
    </w:p>
    <w:p>
      <w:pPr>
        <w:pStyle w:val="ListBullet"/>
        <w:spacing w:after="60"/>
        <w:ind w:left="360" w:hanging="230"/>
      </w:pPr>
      <w:r>
        <w:t>Abandonment</w:t>
      </w:r>
    </w:p>
    <w:p>
      <w:pPr>
        <w:pStyle w:val="ListBullet"/>
        <w:spacing w:after="60"/>
        <w:ind w:left="360" w:hanging="230"/>
      </w:pPr>
      <w:r>
        <w:t>Errors</w:t>
      </w:r>
    </w:p>
    <w:p>
      <w:pPr>
        <w:pStyle w:val="ListBullet"/>
        <w:spacing w:after="60"/>
        <w:ind w:left="360" w:hanging="230"/>
      </w:pPr>
      <w:r>
        <w:t>Requests for further discussion</w:t>
      </w:r>
    </w:p>
    <w:p>
      <w:pPr>
        <w:pStyle w:val="Heading3"/>
      </w:pPr>
      <w:r>
        <w:t>16.2.4 Structured Feedback</w:t>
      </w:r>
    </w:p>
    <w:p>
      <w:r>
        <w:t>Evaluator feedback should be captured persistently.</w:t>
      </w:r>
    </w:p>
    <w:p>
      <w:pPr>
        <w:pStyle w:val="ListBullet"/>
        <w:spacing w:after="60"/>
        <w:ind w:left="360" w:hanging="230"/>
      </w:pPr>
      <w:r>
        <w:t>Was DRE immediately understandable?</w:t>
      </w:r>
    </w:p>
    <w:p>
      <w:pPr>
        <w:pStyle w:val="ListBullet"/>
        <w:spacing w:after="60"/>
        <w:ind w:left="360" w:hanging="230"/>
      </w:pPr>
      <w:r>
        <w:t>Was the sample workflow clear?</w:t>
      </w:r>
    </w:p>
    <w:p>
      <w:pPr>
        <w:pStyle w:val="ListBullet"/>
        <w:spacing w:after="60"/>
        <w:ind w:left="360" w:hanging="230"/>
      </w:pPr>
      <w:r>
        <w:t>Were the two outputs useful?</w:t>
      </w:r>
    </w:p>
    <w:p>
      <w:pPr>
        <w:pStyle w:val="ListBullet"/>
        <w:spacing w:after="60"/>
        <w:ind w:left="360" w:hanging="230"/>
      </w:pPr>
      <w:r>
        <w:t>Was the reason for Human Review understandable?</w:t>
      </w:r>
    </w:p>
    <w:p>
      <w:pPr>
        <w:pStyle w:val="ListBullet"/>
        <w:spacing w:after="60"/>
        <w:ind w:left="360" w:hanging="230"/>
      </w:pPr>
      <w:r>
        <w:t>What information was missing?</w:t>
      </w:r>
    </w:p>
    <w:p>
      <w:pPr>
        <w:pStyle w:val="ListBullet"/>
        <w:spacing w:after="60"/>
        <w:ind w:left="360" w:hanging="230"/>
      </w:pPr>
      <w:r>
        <w:t>What would be required for actual organizational use?</w:t>
      </w:r>
    </w:p>
    <w:p>
      <w:pPr>
        <w:pStyle w:val="ListBullet"/>
        <w:spacing w:after="60"/>
        <w:ind w:left="360" w:hanging="230"/>
      </w:pPr>
      <w:r>
        <w:t>What would prevent adoption?</w:t>
      </w:r>
    </w:p>
    <w:p>
      <w:pPr>
        <w:pStyle w:val="ListBullet"/>
        <w:spacing w:after="60"/>
        <w:ind w:left="360" w:hanging="230"/>
      </w:pPr>
      <w:r>
        <w:t>What existing system would DRE need to coexist with?</w:t>
      </w:r>
    </w:p>
    <w:p>
      <w:pPr>
        <w:pStyle w:val="ListBullet"/>
        <w:spacing w:after="60"/>
        <w:ind w:left="360" w:hanging="230"/>
      </w:pPr>
      <w:r>
        <w:t>What billing formats matter?</w:t>
      </w:r>
    </w:p>
    <w:p>
      <w:pPr>
        <w:pStyle w:val="ListBullet"/>
        <w:spacing w:after="60"/>
        <w:ind w:left="360" w:hanging="230"/>
      </w:pPr>
      <w:r>
        <w:t>What OCG behavior matters?</w:t>
      </w:r>
    </w:p>
    <w:p>
      <w:pPr>
        <w:pStyle w:val="ListBullet"/>
        <w:spacing w:after="60"/>
        <w:ind w:left="360" w:hanging="230"/>
      </w:pPr>
      <w:r>
        <w:t>What security or deployment questions arise?</w:t>
      </w:r>
    </w:p>
    <w:p>
      <w:pPr>
        <w:pStyle w:val="Heading3"/>
      </w:pPr>
      <w:r>
        <w:t>16.2.5 Customer-Pain Validation</w:t>
      </w:r>
    </w:p>
    <w:p>
      <w:r>
        <w:t>Phase 2 tests the market-position hypotheses established earlier.</w:t>
      </w:r>
    </w:p>
    <w:p>
      <w:pPr>
        <w:pStyle w:val="ListBullet"/>
        <w:spacing w:after="60"/>
        <w:ind w:left="360" w:hanging="230"/>
      </w:pPr>
      <w:r>
        <w:t>Do customers actually want a specialized billing-review layer rather than another broad legal-management platform?</w:t>
      </w:r>
    </w:p>
    <w:p>
      <w:pPr>
        <w:pStyle w:val="ListBullet"/>
        <w:spacing w:after="60"/>
        <w:ind w:left="360" w:hanging="230"/>
      </w:pPr>
      <w:r>
        <w:t>Is manual review population a meaningful problem?</w:t>
      </w:r>
    </w:p>
    <w:p>
      <w:pPr>
        <w:pStyle w:val="ListBullet"/>
        <w:spacing w:after="60"/>
        <w:ind w:left="360" w:hanging="230"/>
      </w:pPr>
      <w:r>
        <w:t>Does explainability materially matter?</w:t>
      </w:r>
    </w:p>
    <w:p>
      <w:pPr>
        <w:pStyle w:val="ListBullet"/>
        <w:spacing w:after="60"/>
        <w:ind w:left="360" w:hanging="230"/>
      </w:pPr>
      <w:r>
        <w:t>Does customer-owned Azure deployment reduce adoption concern?</w:t>
      </w:r>
    </w:p>
    <w:p>
      <w:pPr>
        <w:pStyle w:val="ListBullet"/>
        <w:spacing w:after="60"/>
        <w:ind w:left="360" w:hanging="230"/>
      </w:pPr>
      <w:r>
        <w:t>Is one-file/two-file output operationally useful?</w:t>
      </w:r>
    </w:p>
    <w:p>
      <w:pPr>
        <w:pStyle w:val="ListBullet"/>
        <w:spacing w:after="60"/>
        <w:ind w:left="360" w:hanging="230"/>
      </w:pPr>
      <w:r>
        <w:t>Which existing systems must DRE coexist with?</w:t>
      </w:r>
    </w:p>
    <w:p>
      <w:pPr>
        <w:pStyle w:val="Heading3"/>
      </w:pPr>
      <w:r>
        <w:t>16.2.6 OCG Evidence</w:t>
      </w:r>
    </w:p>
    <w:p>
      <w:r>
        <w:t>Real legal-operations evaluators can begin exposing the variability DRE will eventually encounter in Outside Counsel Guidelines.</w:t>
      </w:r>
    </w:p>
    <w:p>
      <w:pPr>
        <w:pStyle w:val="ListBullet"/>
        <w:spacing w:after="60"/>
        <w:ind w:left="360" w:hanging="230"/>
      </w:pPr>
      <w:r>
        <w:t>Deterministic</w:t>
      </w:r>
    </w:p>
    <w:p>
      <w:pPr>
        <w:pStyle w:val="ListBullet"/>
        <w:spacing w:after="60"/>
        <w:ind w:left="360" w:hanging="230"/>
      </w:pPr>
      <w:r>
        <w:t>Semantic</w:t>
      </w:r>
    </w:p>
    <w:p>
      <w:pPr>
        <w:pStyle w:val="ListBullet"/>
        <w:spacing w:after="60"/>
        <w:ind w:left="360" w:hanging="230"/>
      </w:pPr>
      <w:r>
        <w:t>Matter-dependent</w:t>
      </w:r>
    </w:p>
    <w:p>
      <w:pPr>
        <w:pStyle w:val="ListBullet"/>
        <w:spacing w:after="60"/>
        <w:ind w:left="360" w:hanging="230"/>
      </w:pPr>
      <w:r>
        <w:t>Dependent on external information</w:t>
      </w:r>
    </w:p>
    <w:p>
      <w:pPr>
        <w:pStyle w:val="ListBullet"/>
        <w:spacing w:after="60"/>
        <w:ind w:left="360" w:hanging="230"/>
      </w:pPr>
      <w:r>
        <w:t>Authorized-exception dependent</w:t>
      </w:r>
    </w:p>
    <w:p>
      <w:pPr>
        <w:pStyle w:val="ListBullet"/>
        <w:spacing w:after="60"/>
        <w:ind w:left="360" w:hanging="230"/>
      </w:pPr>
      <w:r>
        <w:t>Human-judgment dependent</w:t>
      </w:r>
    </w:p>
    <w:p>
      <w:pPr>
        <w:pStyle w:val="Heading3"/>
      </w:pPr>
      <w:r>
        <w:t>16.2.7 Human-Review Evidence</w:t>
      </w:r>
    </w:p>
    <w:p>
      <w:r>
        <w:t>Human Review is itself an important source of product learning.</w:t>
      </w:r>
    </w:p>
    <w:p>
      <w:pPr>
        <w:pStyle w:val="ListBullet"/>
        <w:spacing w:after="60"/>
        <w:ind w:left="360" w:hanging="230"/>
      </w:pPr>
      <w:r>
        <w:t>Agreement with DRE</w:t>
      </w:r>
    </w:p>
    <w:p>
      <w:pPr>
        <w:pStyle w:val="ListBullet"/>
        <w:spacing w:after="60"/>
        <w:ind w:left="360" w:hanging="230"/>
      </w:pPr>
      <w:r>
        <w:t>Modification of DRE recommendation</w:t>
      </w:r>
    </w:p>
    <w:p>
      <w:pPr>
        <w:pStyle w:val="ListBullet"/>
        <w:spacing w:after="60"/>
        <w:ind w:left="360" w:hanging="230"/>
      </w:pPr>
      <w:r>
        <w:t>Rejection of recommendation</w:t>
      </w:r>
    </w:p>
    <w:p>
      <w:pPr>
        <w:pStyle w:val="ListBullet"/>
        <w:spacing w:after="60"/>
        <w:ind w:left="360" w:hanging="230"/>
      </w:pPr>
      <w:r>
        <w:t>Additional information required</w:t>
      </w:r>
    </w:p>
    <w:p>
      <w:pPr>
        <w:pStyle w:val="ListBullet"/>
        <w:spacing w:after="60"/>
        <w:ind w:left="360" w:hanging="230"/>
      </w:pPr>
      <w:r>
        <w:t>Missing rule</w:t>
      </w:r>
    </w:p>
    <w:p>
      <w:pPr>
        <w:pStyle w:val="ListBullet"/>
        <w:spacing w:after="60"/>
        <w:ind w:left="360" w:hanging="230"/>
      </w:pPr>
      <w:r>
        <w:t>Incorrect rule</w:t>
      </w:r>
    </w:p>
    <w:p>
      <w:pPr>
        <w:pStyle w:val="ListBullet"/>
        <w:spacing w:after="60"/>
        <w:ind w:left="360" w:hanging="230"/>
      </w:pPr>
      <w:r>
        <w:t>Semantic-review weakness</w:t>
      </w:r>
    </w:p>
    <w:p>
      <w:pPr>
        <w:pStyle w:val="Heading3"/>
      </w:pPr>
      <w:r>
        <w:t>16.2.8 Early Commercial Evidence</w:t>
      </w:r>
    </w:p>
    <w:p>
      <w:r>
        <w:t>Phase 2 can also begin producing progressively stronger commercial signals:</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COMMERCIAL SIGNALS</w:t>
              <w:br/>
            </w:r>
            <w:r>
              <w:t>Demo user → waitlist → conversation → serious evaluation → design-partner interest → commercial proposal → engagement.</w:t>
            </w:r>
          </w:p>
        </w:tc>
      </w:tr>
    </w:tbl>
    <w:p/>
    <w:p>
      <w:r>
        <w:t>The stages remain distinct.</w:t>
      </w:r>
    </w:p>
    <w:p>
      <w:r>
        <w:t>A waitlist registration is not revenue.</w:t>
      </w:r>
    </w:p>
    <w:p>
      <w:r>
        <w:t>A positive review is not a customer.</w:t>
      </w:r>
    </w:p>
    <w:p>
      <w:r>
        <w:t>A design-partner conversation is not a signed engagement.</w:t>
      </w:r>
    </w:p>
    <w:p>
      <w:pPr>
        <w:pStyle w:val="Heading3"/>
      </w:pPr>
      <w:r>
        <w:t>16.2.9 Investor Activity During Phase 2</w:t>
      </w:r>
    </w:p>
    <w:p>
      <w:r>
        <w:t>Investor work can proceed while customer validation occurs.</w:t>
      </w:r>
    </w:p>
    <w:p>
      <w:pPr>
        <w:pStyle w:val="ListBullet"/>
        <w:spacing w:after="60"/>
        <w:ind w:left="360" w:hanging="230"/>
      </w:pPr>
      <w:r>
        <w:t>Demo launched</w:t>
      </w:r>
    </w:p>
    <w:p>
      <w:pPr>
        <w:pStyle w:val="ListBullet"/>
        <w:spacing w:after="60"/>
        <w:ind w:left="360" w:hanging="230"/>
      </w:pPr>
      <w:r>
        <w:t>Evaluators</w:t>
      </w:r>
    </w:p>
    <w:p>
      <w:pPr>
        <w:pStyle w:val="ListBullet"/>
        <w:spacing w:after="60"/>
        <w:ind w:left="360" w:hanging="230"/>
      </w:pPr>
      <w:r>
        <w:t>Feedback</w:t>
      </w:r>
    </w:p>
    <w:p>
      <w:pPr>
        <w:pStyle w:val="ListBullet"/>
        <w:spacing w:after="60"/>
        <w:ind w:left="360" w:hanging="230"/>
      </w:pPr>
      <w:r>
        <w:t>Waitlist</w:t>
      </w:r>
    </w:p>
    <w:p>
      <w:pPr>
        <w:pStyle w:val="ListBullet"/>
        <w:spacing w:after="60"/>
        <w:ind w:left="360" w:hanging="230"/>
      </w:pPr>
      <w:r>
        <w:t>Qualified legal-operations engagement</w:t>
      </w:r>
    </w:p>
    <w:p>
      <w:pPr>
        <w:pStyle w:val="ListBullet"/>
        <w:spacing w:after="60"/>
        <w:ind w:left="360" w:hanging="230"/>
      </w:pPr>
      <w:r>
        <w:t>Design-partner discussions</w:t>
      </w:r>
    </w:p>
    <w:p>
      <w:pPr>
        <w:pStyle w:val="ListBullet"/>
        <w:spacing w:after="60"/>
        <w:ind w:left="360" w:hanging="230"/>
      </w:pPr>
      <w:r>
        <w:t>Commercial commitments</w:t>
      </w:r>
    </w:p>
    <w:p>
      <w:pPr>
        <w:pStyle w:val="ListBullet"/>
        <w:spacing w:after="60"/>
        <w:ind w:left="360" w:hanging="230"/>
      </w:pPr>
      <w:r>
        <w:t>Azure milestones</w:t>
      </w:r>
    </w:p>
    <w:p>
      <w:pPr>
        <w:pStyle w:val="Heading3"/>
      </w:pPr>
      <w:r>
        <w:t>16.2.10 Phase 2 Exit Condition</w:t>
      </w:r>
    </w:p>
    <w:p>
      <w:r>
        <w:t>Phase 2 reaches its meaningful exit when DRE has enough external evidence to distinguish:</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EXIT CONDITION</w:t>
              <w:br/>
            </w:r>
            <w:r>
              <w:t>What evaluators understand, what they value, what they need, what prevents adoption, and which requirements repeatedly appear strongly enough to influence the product.</w:t>
            </w:r>
          </w:p>
        </w:tc>
      </w:tr>
    </w:tbl>
    <w:p/>
    <w:p>
      <w:r>
        <w:t>The output of Phase 2 is therefore not merely a collection of comments.</w:t>
      </w:r>
    </w:p>
    <w:p>
      <w:r>
        <w:t>It is a prioritized body of customer evidence capable of directing the next build.</w:t>
      </w:r>
    </w:p>
    <w:p>
      <w:pPr>
        <w:pStyle w:val="Heading2"/>
      </w:pPr>
      <w:r>
        <w:t>16.3 Phase 3 — Product / Documentation Completion</w:t>
      </w:r>
    </w:p>
    <w:p>
      <w:r>
        <w:t>Phase 3 converts what DRE has learned into a more complete and internally consistent product system.</w:t>
      </w:r>
    </w:p>
    <w:p>
      <w:r>
        <w:t>This is where the website, source documents, software, diagrams, demo behavior, architecture, and customer requirements are compared systematically.</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PHASE 3 OBJECTIVE</w:t>
              <w:br/>
            </w:r>
            <w:r>
              <w:t>Identify the difference between what DRE currently says, what DRE currently does, what customers need, and what the intended product must become.</w:t>
            </w:r>
          </w:p>
        </w:tc>
      </w:tr>
    </w:tbl>
    <w:p/>
    <w:p>
      <w:pPr>
        <w:pStyle w:val="Heading3"/>
      </w:pPr>
      <w:r>
        <w:t>16.3.1 Gap Inventory</w:t>
      </w:r>
    </w:p>
    <w:p>
      <w:r>
        <w:t>Phase 3 begins with a structured gap review.</w:t>
      </w:r>
    </w:p>
    <w:p>
      <w:pPr>
        <w:pStyle w:val="ListBullet"/>
        <w:spacing w:after="60"/>
        <w:ind w:left="360" w:hanging="230"/>
      </w:pPr>
      <w:r>
        <w:t>Product behavior</w:t>
      </w:r>
    </w:p>
    <w:p>
      <w:pPr>
        <w:pStyle w:val="ListBullet"/>
        <w:spacing w:after="60"/>
        <w:ind w:left="360" w:hanging="230"/>
      </w:pPr>
      <w:r>
        <w:t>Deterministic processing</w:t>
      </w:r>
    </w:p>
    <w:p>
      <w:pPr>
        <w:pStyle w:val="ListBullet"/>
        <w:spacing w:after="60"/>
        <w:ind w:left="360" w:hanging="230"/>
      </w:pPr>
      <w:r>
        <w:t>Consensus behavior</w:t>
      </w:r>
    </w:p>
    <w:p>
      <w:pPr>
        <w:pStyle w:val="ListBullet"/>
        <w:spacing w:after="60"/>
        <w:ind w:left="360" w:hanging="230"/>
      </w:pPr>
      <w:r>
        <w:t>Human-review workflow</w:t>
      </w:r>
    </w:p>
    <w:p>
      <w:pPr>
        <w:pStyle w:val="ListBullet"/>
        <w:spacing w:after="60"/>
        <w:ind w:left="360" w:hanging="230"/>
      </w:pPr>
      <w:r>
        <w:t>OCG configuration</w:t>
      </w:r>
    </w:p>
    <w:p>
      <w:pPr>
        <w:pStyle w:val="ListBullet"/>
        <w:spacing w:after="60"/>
        <w:ind w:left="360" w:hanging="230"/>
      </w:pPr>
      <w:r>
        <w:t>File ingestion</w:t>
      </w:r>
    </w:p>
    <w:p>
      <w:pPr>
        <w:pStyle w:val="ListBullet"/>
        <w:spacing w:after="60"/>
        <w:ind w:left="360" w:hanging="230"/>
      </w:pPr>
      <w:r>
        <w:t>Output</w:t>
      </w:r>
    </w:p>
    <w:p>
      <w:pPr>
        <w:pStyle w:val="ListBullet"/>
        <w:spacing w:after="60"/>
        <w:ind w:left="360" w:hanging="230"/>
      </w:pPr>
      <w:r>
        <w:t>Audit evidence</w:t>
      </w:r>
    </w:p>
    <w:p>
      <w:pPr>
        <w:pStyle w:val="ListBullet"/>
        <w:spacing w:after="60"/>
        <w:ind w:left="360" w:hanging="230"/>
      </w:pPr>
      <w:r>
        <w:t>Azure architecture</w:t>
      </w:r>
    </w:p>
    <w:p>
      <w:pPr>
        <w:pStyle w:val="ListBullet"/>
        <w:spacing w:after="60"/>
        <w:ind w:left="360" w:hanging="230"/>
      </w:pPr>
      <w:r>
        <w:t>Security</w:t>
      </w:r>
    </w:p>
    <w:p>
      <w:pPr>
        <w:pStyle w:val="ListBullet"/>
        <w:spacing w:after="60"/>
        <w:ind w:left="360" w:hanging="230"/>
      </w:pPr>
      <w:r>
        <w:t>Validation</w:t>
      </w:r>
    </w:p>
    <w:p>
      <w:pPr>
        <w:pStyle w:val="ListBullet"/>
        <w:spacing w:after="60"/>
        <w:ind w:left="360" w:hanging="230"/>
      </w:pPr>
      <w:r>
        <w:t>Documentation</w:t>
      </w:r>
    </w:p>
    <w:p>
      <w:pPr>
        <w:pStyle w:val="ListBullet"/>
        <w:spacing w:after="60"/>
        <w:ind w:left="360" w:hanging="230"/>
      </w:pPr>
      <w:r>
        <w:t>Website</w:t>
      </w:r>
    </w:p>
    <w:p>
      <w:pPr>
        <w:pStyle w:val="ListBullet"/>
        <w:spacing w:after="60"/>
        <w:ind w:left="360" w:hanging="230"/>
      </w:pPr>
      <w:r>
        <w:t>User experience</w:t>
      </w:r>
    </w:p>
    <w:p>
      <w:pPr>
        <w:pStyle w:val="ListBullet"/>
        <w:spacing w:after="60"/>
        <w:ind w:left="360" w:hanging="230"/>
      </w:pPr>
      <w:r>
        <w:t>Commercial model</w:t>
      </w:r>
    </w:p>
    <w:p>
      <w:pPr>
        <w:pStyle w:val="ListBullet"/>
        <w:spacing w:after="60"/>
        <w:ind w:left="360" w:hanging="230"/>
      </w:pPr>
      <w:r>
        <w:t>Customer onboarding</w:t>
      </w:r>
    </w:p>
    <w:p>
      <w:pPr>
        <w:pStyle w:val="Heading3"/>
      </w:pPr>
      <w:r>
        <w:t>16.3.2 Documentation Gap Review</w:t>
      </w:r>
    </w:p>
    <w:p>
      <w:r>
        <w:t>The website and current source-document set provide a useful mechanism for identifying missing substantive documentation.</w:t>
      </w:r>
    </w:p>
    <w:p>
      <w:pPr>
        <w:pStyle w:val="ListBullet"/>
        <w:spacing w:after="60"/>
        <w:ind w:left="360" w:hanging="230"/>
      </w:pPr>
      <w:r>
        <w:t>Does a current source document exist?</w:t>
      </w:r>
    </w:p>
    <w:p>
      <w:pPr>
        <w:pStyle w:val="ListBullet"/>
        <w:spacing w:after="60"/>
        <w:ind w:left="360" w:hanging="230"/>
      </w:pPr>
      <w:r>
        <w:t>Does it still describe current DRE?</w:t>
      </w:r>
    </w:p>
    <w:p>
      <w:pPr>
        <w:pStyle w:val="ListBullet"/>
        <w:spacing w:after="60"/>
        <w:ind w:left="360" w:hanging="230"/>
      </w:pPr>
      <w:r>
        <w:t>Does it contain obsolete medical or other legacy scope?</w:t>
      </w:r>
    </w:p>
    <w:p>
      <w:pPr>
        <w:pStyle w:val="ListBullet"/>
        <w:spacing w:after="60"/>
        <w:ind w:left="360" w:hanging="230"/>
      </w:pPr>
      <w:r>
        <w:t>Does it distinguish current and intended architecture?</w:t>
      </w:r>
    </w:p>
    <w:p>
      <w:pPr>
        <w:pStyle w:val="ListBullet"/>
        <w:spacing w:after="60"/>
        <w:ind w:left="360" w:hanging="230"/>
      </w:pPr>
      <w:r>
        <w:t>Does the webpage accurately reflect it?</w:t>
      </w:r>
    </w:p>
    <w:p>
      <w:pPr>
        <w:pStyle w:val="ListBullet"/>
        <w:spacing w:after="60"/>
        <w:ind w:left="360" w:hanging="230"/>
      </w:pPr>
      <w:r>
        <w:t>Does the implementation support what the document says?</w:t>
      </w:r>
    </w:p>
    <w:p>
      <w:pPr>
        <w:pStyle w:val="Heading3"/>
      </w:pPr>
      <w:r>
        <w:t>16.3.3 Page Gap Review</w:t>
      </w:r>
    </w:p>
    <w:p>
      <w:r>
        <w:t>The reverse comparison should also occur.</w:t>
      </w:r>
    </w:p>
    <w:p>
      <w:pPr>
        <w:pStyle w:val="ListBullet"/>
        <w:spacing w:after="60"/>
        <w:ind w:left="360" w:hanging="230"/>
      </w:pPr>
      <w:r>
        <w:t>Does it need a webpage?</w:t>
      </w:r>
    </w:p>
    <w:p>
      <w:pPr>
        <w:pStyle w:val="ListBullet"/>
        <w:spacing w:after="60"/>
        <w:ind w:left="360" w:hanging="230"/>
      </w:pPr>
      <w:r>
        <w:t>Is the information already represented adequately elsewhere?</w:t>
      </w:r>
    </w:p>
    <w:p>
      <w:pPr>
        <w:pStyle w:val="ListBullet"/>
        <w:spacing w:after="60"/>
        <w:ind w:left="360" w:hanging="230"/>
      </w:pPr>
      <w:r>
        <w:t>Is it customer-facing, investor-facing, technical, or internal?</w:t>
      </w:r>
    </w:p>
    <w:p>
      <w:pPr>
        <w:pStyle w:val="ListBullet"/>
        <w:spacing w:after="60"/>
        <w:ind w:left="360" w:hanging="230"/>
      </w:pPr>
      <w:r>
        <w:t>Is the document obsolete?</w:t>
      </w:r>
    </w:p>
    <w:p>
      <w:pPr>
        <w:pStyle w:val="ListBullet"/>
        <w:spacing w:after="60"/>
        <w:ind w:left="360" w:hanging="230"/>
      </w:pPr>
      <w:r>
        <w:t>Should it be downloadable rather than a standalone page?</w:t>
      </w:r>
    </w:p>
    <w:p>
      <w:pPr>
        <w:pStyle w:val="Heading3"/>
      </w:pPr>
      <w:r>
        <w:t>16.3.4 Product / Document Pairing</w:t>
      </w:r>
    </w:p>
    <w:p>
      <w:r>
        <w:t>The intended mature workflow remains:</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MATURE WORKFLOW</w:t>
              <w:br/>
            </w:r>
            <w:r>
              <w:t>Product concept established → substantive document created or updated → corresponding webpage created → responsive visual incorporated where useful → document available for download.</w:t>
            </w:r>
          </w:p>
        </w:tc>
      </w:tr>
    </w:tbl>
    <w:p/>
    <w:p>
      <w:r>
        <w:t>The product, document, webpage, and diagram should describe the same underlying DRE.</w:t>
      </w:r>
    </w:p>
    <w:p>
      <w:pPr>
        <w:pStyle w:val="Heading3"/>
      </w:pPr>
      <w:r>
        <w:t>16.3.5 Current vs. Target Reconciliation</w:t>
      </w:r>
    </w:p>
    <w:p>
      <w:r>
        <w:t>Phase 3 should explicitly reconcile differences between current and intended architecture.</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CURRENT CONSENSUS</w:t>
            </w:r>
          </w:p>
        </w:tc>
        <w:tc>
          <w:tcPr>
            <w:tcW w:type="dxa" w:w="4939"/>
            <w:vAlign w:val="center"/>
            <w:tcMar>
              <w:top w:w="110" w:type="dxa"/>
              <w:start w:w="110" w:type="dxa"/>
              <w:bottom w:w="110" w:type="dxa"/>
              <w:end w:w="110" w:type="dxa"/>
            </w:tcMar>
            <w:shd w:fill="16324F"/>
          </w:tcPr>
          <w:p>
            <w:pPr>
              <w:spacing w:after="0"/>
            </w:pPr>
            <w:r/>
            <w:r>
              <w:rPr>
                <w:rFonts w:ascii="Aptos" w:hAnsi="Aptos"/>
                <w:b/>
                <w:color w:val="FFFFFF"/>
                <w:sz w:val="16"/>
              </w:rPr>
              <w:t>INTENDED CONSENSUS</w:t>
            </w:r>
          </w:p>
        </w:tc>
      </w:tr>
      <w:tr>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6"/>
              </w:rPr>
              <w:t>Three differentiated agents in a single parallel round followed by deterministic aggregation.</w:t>
            </w:r>
          </w:p>
        </w:tc>
        <w:tc>
          <w:tcPr>
            <w:tcW w:type="dxa" w:w="4939"/>
            <w:vAlign w:val="center"/>
            <w:tcMar>
              <w:top w:w="110" w:type="dxa"/>
              <w:start w:w="110" w:type="dxa"/>
              <w:bottom w:w="110" w:type="dxa"/>
              <w:end w:w="110" w:type="dxa"/>
            </w:tcMar>
            <w:shd w:fill="FFFFFF"/>
          </w:tcPr>
          <w:p>
            <w:pPr>
              <w:spacing w:after="0"/>
            </w:pPr>
            <w:r/>
            <w:r>
              <w:rPr>
                <w:rFonts w:ascii="Aptos" w:hAnsi="Aptos"/>
                <w:b w:val="0"/>
                <w:color w:val="24313C"/>
                <w:sz w:val="16"/>
              </w:rPr>
              <w:t>Three independent agents operating across multiple rounds followed by referee synthesis.</w:t>
            </w:r>
          </w:p>
        </w:tc>
      </w:tr>
    </w:tbl>
    <w:p/>
    <w:p>
      <w:pPr>
        <w:pStyle w:val="Heading3"/>
      </w:pPr>
      <w:r>
        <w:t>16.3.6 Deterministic Engine Completion</w:t>
      </w:r>
    </w:p>
    <w:p>
      <w:r>
        <w:t>Customer and OCG evidence can guide expansion of the deterministic engine.</w:t>
      </w:r>
    </w:p>
    <w:p>
      <w:pPr>
        <w:pStyle w:val="ListBullet"/>
        <w:spacing w:after="60"/>
        <w:ind w:left="360" w:hanging="230"/>
      </w:pPr>
      <w:r>
        <w:t>Additional rule types</w:t>
      </w:r>
    </w:p>
    <w:p>
      <w:pPr>
        <w:pStyle w:val="ListBullet"/>
        <w:spacing w:after="60"/>
        <w:ind w:left="360" w:hanging="230"/>
      </w:pPr>
      <w:r>
        <w:t>More precise narrative handling</w:t>
      </w:r>
    </w:p>
    <w:p>
      <w:pPr>
        <w:pStyle w:val="ListBullet"/>
        <w:spacing w:after="60"/>
        <w:ind w:left="360" w:hanging="230"/>
      </w:pPr>
      <w:r>
        <w:t>Configurable OCG logic</w:t>
      </w:r>
    </w:p>
    <w:p>
      <w:pPr>
        <w:pStyle w:val="ListBullet"/>
        <w:spacing w:after="60"/>
        <w:ind w:left="360" w:hanging="230"/>
      </w:pPr>
      <w:r>
        <w:t>Matter/customer policy support</w:t>
      </w:r>
    </w:p>
    <w:p>
      <w:pPr>
        <w:pStyle w:val="ListBullet"/>
        <w:spacing w:after="60"/>
        <w:ind w:left="360" w:hanging="230"/>
      </w:pPr>
      <w:r>
        <w:t>Authorized exceptions</w:t>
      </w:r>
    </w:p>
    <w:p>
      <w:pPr>
        <w:pStyle w:val="ListBullet"/>
        <w:spacing w:after="60"/>
        <w:ind w:left="360" w:hanging="230"/>
      </w:pPr>
      <w:r>
        <w:t>More robust financial treatment</w:t>
      </w:r>
    </w:p>
    <w:p>
      <w:pPr>
        <w:pStyle w:val="ListBullet"/>
        <w:spacing w:after="60"/>
        <w:ind w:left="360" w:hanging="230"/>
      </w:pPr>
      <w:r>
        <w:t>Better rule evidence</w:t>
      </w:r>
    </w:p>
    <w:p>
      <w:pPr>
        <w:pStyle w:val="ListBullet"/>
        <w:spacing w:after="60"/>
        <w:ind w:left="360" w:hanging="230"/>
      </w:pPr>
      <w:r>
        <w:t>Improved rule provenance</w:t>
      </w:r>
    </w:p>
    <w:p>
      <w:pPr>
        <w:pStyle w:val="ListBullet"/>
        <w:spacing w:after="60"/>
        <w:ind w:left="360" w:hanging="230"/>
      </w:pPr>
      <w:r>
        <w:t>Safer handling of ambiguous conditions</w:t>
      </w:r>
    </w:p>
    <w:p>
      <w:pPr>
        <w:pStyle w:val="Heading3"/>
      </w:pPr>
      <w:r>
        <w:t>16.3.7 Consensus Completion</w:t>
      </w:r>
    </w:p>
    <w:p>
      <w:r>
        <w:t>Phase 3 can advance the consensus architecture using evidence from controlled evaluation.</w:t>
      </w:r>
    </w:p>
    <w:p>
      <w:pPr>
        <w:pStyle w:val="ListBullet"/>
        <w:spacing w:after="60"/>
        <w:ind w:left="360" w:hanging="230"/>
      </w:pPr>
      <w:r>
        <w:t>Multi-round consensus</w:t>
      </w:r>
    </w:p>
    <w:p>
      <w:pPr>
        <w:pStyle w:val="ListBullet"/>
        <w:spacing w:after="60"/>
        <w:ind w:left="360" w:hanging="230"/>
      </w:pPr>
      <w:r>
        <w:t>Explicit disagreement handling</w:t>
      </w:r>
    </w:p>
    <w:p>
      <w:pPr>
        <w:pStyle w:val="ListBullet"/>
        <w:spacing w:after="60"/>
        <w:ind w:left="360" w:hanging="230"/>
      </w:pPr>
      <w:r>
        <w:t>Reachable human-escalation conditions</w:t>
      </w:r>
    </w:p>
    <w:p>
      <w:pPr>
        <w:pStyle w:val="ListBullet"/>
        <w:spacing w:after="60"/>
        <w:ind w:left="360" w:hanging="230"/>
      </w:pPr>
      <w:r>
        <w:t>Stronger structured outputs</w:t>
      </w:r>
    </w:p>
    <w:p>
      <w:pPr>
        <w:pStyle w:val="ListBullet"/>
        <w:spacing w:after="60"/>
        <w:ind w:left="360" w:hanging="230"/>
      </w:pPr>
      <w:r>
        <w:t>Schema validation</w:t>
      </w:r>
    </w:p>
    <w:p>
      <w:pPr>
        <w:pStyle w:val="ListBullet"/>
        <w:spacing w:after="60"/>
        <w:ind w:left="360" w:hanging="230"/>
      </w:pPr>
      <w:r>
        <w:t>Improved confidence handling</w:t>
      </w:r>
    </w:p>
    <w:p>
      <w:pPr>
        <w:pStyle w:val="ListBullet"/>
        <w:spacing w:after="60"/>
        <w:ind w:left="360" w:hanging="230"/>
      </w:pPr>
      <w:r>
        <w:t>Better reasoning/evidence capture</w:t>
      </w:r>
    </w:p>
    <w:p>
      <w:pPr>
        <w:pStyle w:val="ListBullet"/>
        <w:spacing w:after="60"/>
        <w:ind w:left="360" w:hanging="230"/>
      </w:pPr>
      <w:r>
        <w:t>Error-state visibility</w:t>
      </w:r>
    </w:p>
    <w:p>
      <w:pPr>
        <w:pStyle w:val="ListBullet"/>
        <w:spacing w:after="60"/>
        <w:ind w:left="360" w:hanging="230"/>
      </w:pPr>
      <w:r>
        <w:t>Model comparison</w:t>
      </w:r>
    </w:p>
    <w:p>
      <w:pPr>
        <w:pStyle w:val="ListBullet"/>
        <w:spacing w:after="60"/>
        <w:ind w:left="360" w:hanging="230"/>
      </w:pPr>
      <w:r>
        <w:t>Agent tuning</w:t>
      </w:r>
    </w:p>
    <w:p>
      <w:pPr>
        <w:pStyle w:val="ListBullet"/>
        <w:spacing w:after="60"/>
        <w:ind w:left="360" w:hanging="230"/>
      </w:pPr>
      <w:r>
        <w:t>Referee refinement</w:t>
      </w:r>
    </w:p>
    <w:p>
      <w:pPr>
        <w:pStyle w:val="Heading3"/>
      </w:pPr>
      <w:r>
        <w:t>16.3.8 Human Review Completion</w:t>
      </w:r>
    </w:p>
    <w:p>
      <w:r>
        <w:t>The Human Review population must eventually become a usable operational workflow rather than simply a result category.</w:t>
      </w:r>
    </w:p>
    <w:p>
      <w:pPr>
        <w:pStyle w:val="ListBullet"/>
        <w:spacing w:after="60"/>
        <w:ind w:left="360" w:hanging="230"/>
      </w:pPr>
      <w:r>
        <w:t>What evidence does the reviewer need?</w:t>
      </w:r>
    </w:p>
    <w:p>
      <w:pPr>
        <w:pStyle w:val="ListBullet"/>
        <w:spacing w:after="60"/>
        <w:ind w:left="360" w:hanging="230"/>
      </w:pPr>
      <w:r>
        <w:t>What actions can the reviewer take?</w:t>
      </w:r>
    </w:p>
    <w:p>
      <w:pPr>
        <w:pStyle w:val="ListBullet"/>
        <w:spacing w:after="60"/>
        <w:ind w:left="360" w:hanging="230"/>
      </w:pPr>
      <w:r>
        <w:t>How is disposition recorded?</w:t>
      </w:r>
    </w:p>
    <w:p>
      <w:pPr>
        <w:pStyle w:val="ListBullet"/>
        <w:spacing w:after="60"/>
        <w:ind w:left="360" w:hanging="230"/>
      </w:pPr>
      <w:r>
        <w:t>How are overrides preserved?</w:t>
      </w:r>
    </w:p>
    <w:p>
      <w:pPr>
        <w:pStyle w:val="ListBullet"/>
        <w:spacing w:after="60"/>
        <w:ind w:left="360" w:hanging="230"/>
      </w:pPr>
      <w:r>
        <w:t>How are authorized exceptions handled?</w:t>
      </w:r>
    </w:p>
    <w:p>
      <w:pPr>
        <w:pStyle w:val="ListBullet"/>
        <w:spacing w:after="60"/>
        <w:ind w:left="360" w:hanging="230"/>
      </w:pPr>
      <w:r>
        <w:t>What returns to the surrounding billing workflow?</w:t>
      </w:r>
    </w:p>
    <w:p>
      <w:pPr>
        <w:pStyle w:val="ListBullet"/>
        <w:spacing w:after="60"/>
        <w:ind w:left="360" w:hanging="230"/>
      </w:pPr>
      <w:r>
        <w:t>What becomes product-learning evidence?</w:t>
      </w:r>
    </w:p>
    <w:p>
      <w:pPr>
        <w:pStyle w:val="Heading3"/>
      </w:pPr>
      <w:r>
        <w:t>16.3.9 File-Format Completion</w:t>
      </w:r>
    </w:p>
    <w:p>
      <w:r>
        <w:t>Current demonstration input is deliberately controlled.</w:t>
      </w:r>
    </w:p>
    <w:p>
      <w:r>
        <w:t>Production requirements may eventually require support for legal billing formats such as LEDES® 1998B and customer-specific structured files.</w:t>
      </w:r>
    </w:p>
    <w:p>
      <w:r>
        <w:t>Phase 3 can establish the normalization layer required to translate supported external formats into DRE’s internal transaction contract.</w:t>
      </w:r>
    </w:p>
    <w:p>
      <w:r>
        <w:t>That work should follow actual customer requirements rather than assuming every possible billing format must be supported immediately.</w:t>
      </w:r>
    </w:p>
    <w:p>
      <w:pPr>
        <w:pStyle w:val="Heading3"/>
      </w:pPr>
      <w:r>
        <w:t>16.3.10 Audit-Evidence Completion</w:t>
      </w:r>
    </w:p>
    <w:p>
      <w:r>
        <w:t>The current orchestration material already provides a unified audit receipt concept.</w:t>
      </w:r>
    </w:p>
    <w:p>
      <w:pPr>
        <w:pStyle w:val="ListBullet"/>
        <w:spacing w:after="60"/>
        <w:ind w:left="360" w:hanging="230"/>
      </w:pPr>
      <w:r>
        <w:t>Rule identifiers</w:t>
      </w:r>
    </w:p>
    <w:p>
      <w:pPr>
        <w:pStyle w:val="ListBullet"/>
        <w:spacing w:after="60"/>
        <w:ind w:left="360" w:hanging="230"/>
      </w:pPr>
      <w:r>
        <w:t>Rule reasoning</w:t>
      </w:r>
    </w:p>
    <w:p>
      <w:pPr>
        <w:pStyle w:val="ListBullet"/>
        <w:spacing w:after="60"/>
        <w:ind w:left="360" w:hanging="230"/>
      </w:pPr>
      <w:r>
        <w:t>Processing state</w:t>
      </w:r>
    </w:p>
    <w:p>
      <w:pPr>
        <w:pStyle w:val="ListBullet"/>
        <w:spacing w:after="60"/>
        <w:ind w:left="360" w:hanging="230"/>
      </w:pPr>
      <w:r>
        <w:t>Consensus attempt</w:t>
      </w:r>
    </w:p>
    <w:p>
      <w:pPr>
        <w:pStyle w:val="ListBullet"/>
        <w:spacing w:after="60"/>
        <w:ind w:left="360" w:hanging="230"/>
      </w:pPr>
      <w:r>
        <w:t>Agent votes</w:t>
      </w:r>
    </w:p>
    <w:p>
      <w:pPr>
        <w:pStyle w:val="ListBullet"/>
        <w:spacing w:after="60"/>
        <w:ind w:left="360" w:hanging="230"/>
      </w:pPr>
      <w:r>
        <w:t>Confidence</w:t>
      </w:r>
    </w:p>
    <w:p>
      <w:pPr>
        <w:pStyle w:val="ListBullet"/>
        <w:spacing w:after="60"/>
        <w:ind w:left="360" w:hanging="230"/>
      </w:pPr>
      <w:r>
        <w:t>Errors</w:t>
      </w:r>
    </w:p>
    <w:p>
      <w:pPr>
        <w:pStyle w:val="ListBullet"/>
        <w:spacing w:after="60"/>
        <w:ind w:left="360" w:hanging="230"/>
      </w:pPr>
      <w:r>
        <w:t>Correlation identifiers</w:t>
      </w:r>
    </w:p>
    <w:p>
      <w:pPr>
        <w:pStyle w:val="ListBullet"/>
        <w:spacing w:after="60"/>
        <w:ind w:left="360" w:hanging="230"/>
      </w:pPr>
      <w:r>
        <w:t>Human disposition</w:t>
      </w:r>
    </w:p>
    <w:p>
      <w:pPr>
        <w:pStyle w:val="ListBullet"/>
        <w:spacing w:after="60"/>
        <w:ind w:left="360" w:hanging="230"/>
      </w:pPr>
      <w:r>
        <w:t>Authorized override</w:t>
      </w:r>
    </w:p>
    <w:p>
      <w:pPr>
        <w:pStyle w:val="ListBullet"/>
        <w:spacing w:after="60"/>
        <w:ind w:left="360" w:hanging="230"/>
      </w:pPr>
      <w:r>
        <w:t>Policy version</w:t>
      </w:r>
    </w:p>
    <w:p>
      <w:pPr>
        <w:pStyle w:val="ListBullet"/>
        <w:spacing w:after="60"/>
        <w:ind w:left="360" w:hanging="230"/>
      </w:pPr>
      <w:r>
        <w:t>Final outcome</w:t>
      </w:r>
    </w:p>
    <w:p>
      <w:pPr>
        <w:pStyle w:val="Heading3"/>
      </w:pPr>
      <w:r>
        <w:t>16.3.11 Phase 3 Exit Condition</w:t>
      </w:r>
    </w:p>
    <w:p>
      <w:r>
        <w:t>Phase 3 is complete when the principal product gaps identified through the working demo, customer evidence, architecture review, and documentation review have been resolved sufficiently that:</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EXIT CONDITION</w:t>
              <w:br/>
            </w:r>
            <w:r>
              <w:t>The software, product definition, technical documentation, website, diagrams, and customer experience describe the same commercially deployable product direction.</w:t>
            </w:r>
          </w:p>
        </w:tc>
      </w:tr>
    </w:tbl>
    <w:p/>
    <w:p>
      <w:r>
        <w:t>At that point, the primary remaining question becomes not what is DRE?, but has the enterprise deployment been hardened and proven sufficiently for controlled customer production use?</w:t>
      </w:r>
    </w:p>
    <w:p>
      <w:pPr>
        <w:pStyle w:val="Heading2"/>
      </w:pPr>
      <w:r>
        <w:t>16.4 Phase 4 — Enterprise Hardening &amp; Commercial Deployment</w:t>
      </w:r>
    </w:p>
    <w:p>
      <w:r>
        <w:t>Phase 4 converts the validated product into a repeatable enterprise deployment.</w:t>
      </w:r>
    </w:p>
    <w:p>
      <w:r>
        <w:t>The current Bicep documentation is explicit that the existing infrastructure definition is a foundation rather than a complete secure production environment. It currently declares a VNet, AppSubnet, Key Vault, Cosmos DB account, and Azure OpenAI account with public network access disabled, while private endpoints, DNS, identities, role assignments, application runtime, service configuration, monitoring, retention, and other controls remain implementation work. LegalFirewall_Azure_Deployment_Process_Guide_main_bicep.docx</w:t>
      </w:r>
    </w:p>
    <w:p>
      <w:r>
        <w:t>Phase 4 closes that gap.</w:t>
      </w:r>
    </w:p>
    <w:p>
      <w:pPr>
        <w:pStyle w:val="Heading3"/>
      </w:pPr>
      <w:r>
        <w:t>16.4.1 Phase 4 Objective</w:t>
      </w:r>
    </w:p>
    <w:p>
      <w:r>
        <w:t>The objective is:</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PHASE 4 OBJECTIVE</w:t>
              <w:br/>
            </w:r>
            <w:r>
              <w:t>A repeatable, evidence-backed DRE deployment inside a customer’s Azure environment.</w:t>
            </w:r>
          </w:p>
        </w:tc>
      </w:tr>
    </w:tbl>
    <w:p/>
    <w:p>
      <w:r>
        <w:t>The deployment should be capable of supporting real customer billing data according to the final security, privacy, governance, operational, and contractual requirements.</w:t>
      </w:r>
    </w:p>
    <w:p>
      <w:pPr>
        <w:pStyle w:val="Heading3"/>
      </w:pPr>
      <w:r>
        <w:t>16.4.2 Infrastructure Foundation</w:t>
      </w:r>
    </w:p>
    <w:p>
      <w:r>
        <w:t>The existing Bicep establishes:</w:t>
      </w:r>
    </w:p>
    <w:p>
      <w:pPr>
        <w:pStyle w:val="ListBullet"/>
        <w:spacing w:after="60"/>
        <w:ind w:left="360" w:hanging="230"/>
      </w:pPr>
      <w:r>
        <w:t>Parameterized region</w:t>
      </w:r>
    </w:p>
    <w:p>
      <w:pPr>
        <w:pStyle w:val="ListBullet"/>
        <w:spacing w:after="60"/>
        <w:ind w:left="360" w:hanging="230"/>
      </w:pPr>
      <w:r>
        <w:t>Consistent naming</w:t>
      </w:r>
    </w:p>
    <w:p>
      <w:pPr>
        <w:pStyle w:val="ListBullet"/>
        <w:spacing w:after="60"/>
        <w:ind w:left="360" w:hanging="230"/>
      </w:pPr>
      <w:r>
        <w:t>Azure Virtual Network</w:t>
      </w:r>
    </w:p>
    <w:p>
      <w:pPr>
        <w:pStyle w:val="ListBullet"/>
        <w:spacing w:after="60"/>
        <w:ind w:left="360" w:hanging="230"/>
      </w:pPr>
      <w:r>
        <w:t>AppSubnet</w:t>
      </w:r>
    </w:p>
    <w:p>
      <w:pPr>
        <w:pStyle w:val="ListBullet"/>
        <w:spacing w:after="60"/>
        <w:ind w:left="360" w:hanging="230"/>
      </w:pPr>
      <w:r>
        <w:t>Key Vault</w:t>
      </w:r>
    </w:p>
    <w:p>
      <w:pPr>
        <w:pStyle w:val="ListBullet"/>
        <w:spacing w:after="60"/>
        <w:ind w:left="360" w:hanging="230"/>
      </w:pPr>
      <w:r>
        <w:t>Cosmos DB account</w:t>
      </w:r>
    </w:p>
    <w:p>
      <w:pPr>
        <w:pStyle w:val="ListBullet"/>
        <w:spacing w:after="60"/>
        <w:ind w:left="360" w:hanging="230"/>
      </w:pPr>
      <w:r>
        <w:t>Azure OpenAI account</w:t>
      </w:r>
    </w:p>
    <w:p>
      <w:pPr>
        <w:pStyle w:val="ListBullet"/>
        <w:spacing w:after="60"/>
        <w:ind w:left="360" w:hanging="230"/>
      </w:pPr>
      <w:r>
        <w:t>Disabled public network access for Azure OpenAI</w:t>
      </w:r>
    </w:p>
    <w:p>
      <w:r>
        <w:t>Those are foundations.</w:t>
      </w:r>
    </w:p>
    <w:p>
      <w:r>
        <w:t>They should not be described as the complete production security architecture. LegalFirewall_Azure_Deployment_Process_Guide_main_bicep.docx</w:t>
      </w:r>
    </w:p>
    <w:p>
      <w:pPr>
        <w:pStyle w:val="Heading3"/>
      </w:pPr>
      <w:r>
        <w:t>16.4.3 Private Access</w:t>
      </w:r>
    </w:p>
    <w:p>
      <w:r>
        <w:t>The source deployment guide identifies private connectivity as the next major infrastructure layer.</w:t>
      </w:r>
    </w:p>
    <w:p>
      <w:pPr>
        <w:pStyle w:val="ListBullet"/>
        <w:spacing w:after="60"/>
        <w:ind w:left="360" w:hanging="230"/>
      </w:pPr>
      <w:r>
        <w:t>Private endpoints</w:t>
      </w:r>
    </w:p>
    <w:p>
      <w:pPr>
        <w:pStyle w:val="ListBullet"/>
        <w:spacing w:after="60"/>
        <w:ind w:left="360" w:hanging="230"/>
      </w:pPr>
      <w:r>
        <w:t>Private DNS</w:t>
      </w:r>
    </w:p>
    <w:p>
      <w:pPr>
        <w:pStyle w:val="ListBullet"/>
        <w:spacing w:after="60"/>
        <w:ind w:left="360" w:hanging="230"/>
      </w:pPr>
      <w:r>
        <w:t>DNS links</w:t>
      </w:r>
    </w:p>
    <w:p>
      <w:pPr>
        <w:pStyle w:val="ListBullet"/>
        <w:spacing w:after="60"/>
        <w:ind w:left="360" w:hanging="230"/>
      </w:pPr>
      <w:r>
        <w:t>Network restrictions</w:t>
      </w:r>
    </w:p>
    <w:p>
      <w:pPr>
        <w:pStyle w:val="ListBullet"/>
        <w:spacing w:after="60"/>
        <w:ind w:left="360" w:hanging="230"/>
      </w:pPr>
      <w:r>
        <w:t>Routing</w:t>
      </w:r>
    </w:p>
    <w:p>
      <w:pPr>
        <w:pStyle w:val="ListBullet"/>
        <w:spacing w:after="60"/>
        <w:ind w:left="360" w:hanging="230"/>
      </w:pPr>
      <w:r>
        <w:t>Workload integration</w:t>
      </w:r>
    </w:p>
    <w:p>
      <w:pPr>
        <w:pStyle w:val="ListBullet"/>
        <w:spacing w:after="60"/>
        <w:ind w:left="360" w:hanging="230"/>
      </w:pPr>
      <w:r>
        <w:t>Service-specific public-access restrictions</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EXIT CONDITION</w:t>
              <w:br/>
            </w:r>
            <w:r>
              <w:t>Approved workloads can reach required services through the intended private path while unintended paths are denied.</w:t>
            </w:r>
          </w:p>
        </w:tc>
      </w:tr>
    </w:tbl>
    <w:p/>
    <w:p>
      <w:pPr>
        <w:pStyle w:val="Heading3"/>
      </w:pPr>
      <w:r>
        <w:t>16.4.4 Identity and Authorization</w:t>
      </w:r>
    </w:p>
    <w:p>
      <w:r>
        <w:t>Production DRE should move toward attributable, least-privilege identity.</w:t>
      </w:r>
    </w:p>
    <w:p>
      <w:pPr>
        <w:pStyle w:val="ListBullet"/>
        <w:spacing w:after="60"/>
        <w:ind w:left="360" w:hanging="230"/>
      </w:pPr>
      <w:r>
        <w:t>Managed identities</w:t>
      </w:r>
    </w:p>
    <w:p>
      <w:pPr>
        <w:pStyle w:val="ListBullet"/>
        <w:spacing w:after="60"/>
        <w:ind w:left="360" w:hanging="230"/>
      </w:pPr>
      <w:r>
        <w:t>RBAC</w:t>
      </w:r>
    </w:p>
    <w:p>
      <w:pPr>
        <w:pStyle w:val="ListBullet"/>
        <w:spacing w:after="60"/>
        <w:ind w:left="360" w:hanging="230"/>
      </w:pPr>
      <w:r>
        <w:t>Deployment identity</w:t>
      </w:r>
    </w:p>
    <w:p>
      <w:pPr>
        <w:pStyle w:val="ListBullet"/>
        <w:spacing w:after="60"/>
        <w:ind w:left="360" w:hanging="230"/>
      </w:pPr>
      <w:r>
        <w:t>Application identity</w:t>
      </w:r>
    </w:p>
    <w:p>
      <w:pPr>
        <w:pStyle w:val="ListBullet"/>
        <w:spacing w:after="60"/>
        <w:ind w:left="360" w:hanging="230"/>
      </w:pPr>
      <w:r>
        <w:t>Reviewer access</w:t>
      </w:r>
    </w:p>
    <w:p>
      <w:pPr>
        <w:pStyle w:val="ListBullet"/>
        <w:spacing w:after="60"/>
        <w:ind w:left="360" w:hanging="230"/>
      </w:pPr>
      <w:r>
        <w:t>Tested authorization</w:t>
      </w:r>
    </w:p>
    <w:p>
      <w:r>
        <w:t>The target condition is that application access does not depend on secrets embedded in code and that permissions are attributable and testable.</w:t>
      </w:r>
    </w:p>
    <w:p>
      <w:pPr>
        <w:pStyle w:val="Heading3"/>
      </w:pPr>
      <w:r>
        <w:t>16.4.5 Data Layer</w:t>
      </w:r>
    </w:p>
    <w:p>
      <w:r>
        <w:t>The current Bicep provisions a Cosmos DB account but not the complete DRE data model.</w:t>
      </w:r>
    </w:p>
    <w:p>
      <w:pPr>
        <w:pStyle w:val="ListBullet"/>
        <w:spacing w:after="60"/>
        <w:ind w:left="360" w:hanging="230"/>
      </w:pPr>
      <w:r>
        <w:t>Database</w:t>
      </w:r>
    </w:p>
    <w:p>
      <w:pPr>
        <w:pStyle w:val="ListBullet"/>
        <w:spacing w:after="60"/>
        <w:ind w:left="360" w:hanging="230"/>
      </w:pPr>
      <w:r>
        <w:t>Containers</w:t>
      </w:r>
    </w:p>
    <w:p>
      <w:pPr>
        <w:pStyle w:val="ListBullet"/>
        <w:spacing w:after="60"/>
        <w:ind w:left="360" w:hanging="230"/>
      </w:pPr>
      <w:r>
        <w:t>Partitioning</w:t>
      </w:r>
    </w:p>
    <w:p>
      <w:pPr>
        <w:pStyle w:val="ListBullet"/>
        <w:spacing w:after="60"/>
        <w:ind w:left="360" w:hanging="230"/>
      </w:pPr>
      <w:r>
        <w:t>Consistency</w:t>
      </w:r>
    </w:p>
    <w:p>
      <w:pPr>
        <w:pStyle w:val="ListBullet"/>
        <w:spacing w:after="60"/>
        <w:ind w:left="360" w:hanging="230"/>
      </w:pPr>
      <w:r>
        <w:t>Authorization</w:t>
      </w:r>
    </w:p>
    <w:p>
      <w:pPr>
        <w:pStyle w:val="ListBullet"/>
        <w:spacing w:after="60"/>
        <w:ind w:left="360" w:hanging="230"/>
      </w:pPr>
      <w:r>
        <w:t>Private access</w:t>
      </w:r>
    </w:p>
    <w:p>
      <w:pPr>
        <w:pStyle w:val="ListBullet"/>
        <w:spacing w:after="60"/>
        <w:ind w:left="360" w:hanging="230"/>
      </w:pPr>
      <w:r>
        <w:t>Backup</w:t>
      </w:r>
    </w:p>
    <w:p>
      <w:pPr>
        <w:pStyle w:val="ListBullet"/>
        <w:spacing w:after="60"/>
        <w:ind w:left="360" w:hanging="230"/>
      </w:pPr>
      <w:r>
        <w:t>Retention</w:t>
      </w:r>
    </w:p>
    <w:p>
      <w:pPr>
        <w:pStyle w:val="ListBullet"/>
        <w:spacing w:after="60"/>
        <w:ind w:left="360" w:hanging="230"/>
      </w:pPr>
      <w:r>
        <w:t>Audit records</w:t>
      </w:r>
    </w:p>
    <w:p>
      <w:pPr>
        <w:pStyle w:val="ListBullet"/>
        <w:spacing w:after="60"/>
        <w:ind w:left="360" w:hanging="230"/>
      </w:pPr>
      <w:r>
        <w:t>Transaction state</w:t>
      </w:r>
    </w:p>
    <w:p>
      <w:pPr>
        <w:pStyle w:val="Heading3"/>
      </w:pPr>
      <w:r>
        <w:t>16.4.6 Azure OpenAI Deployment</w:t>
      </w:r>
    </w:p>
    <w:p>
      <w:r>
        <w:t>The current infrastructure provisions an Azure OpenAI account with public network access disabled but does not create the complete model-serving environment.</w:t>
      </w:r>
    </w:p>
    <w:p>
      <w:pPr>
        <w:pStyle w:val="ListBullet"/>
        <w:spacing w:after="60"/>
        <w:ind w:left="360" w:hanging="230"/>
      </w:pPr>
      <w:r>
        <w:t>Private endpoint</w:t>
      </w:r>
    </w:p>
    <w:p>
      <w:pPr>
        <w:pStyle w:val="ListBullet"/>
        <w:spacing w:after="60"/>
        <w:ind w:left="360" w:hanging="230"/>
      </w:pPr>
      <w:r>
        <w:t>DNS</w:t>
      </w:r>
    </w:p>
    <w:p>
      <w:pPr>
        <w:pStyle w:val="ListBullet"/>
        <w:spacing w:after="60"/>
        <w:ind w:left="360" w:hanging="230"/>
      </w:pPr>
      <w:r>
        <w:t>Model deployment</w:t>
      </w:r>
    </w:p>
    <w:p>
      <w:pPr>
        <w:pStyle w:val="ListBullet"/>
        <w:spacing w:after="60"/>
        <w:ind w:left="360" w:hanging="230"/>
      </w:pPr>
      <w:r>
        <w:t>Identity/RBAC</w:t>
      </w:r>
    </w:p>
    <w:p>
      <w:pPr>
        <w:pStyle w:val="ListBullet"/>
        <w:spacing w:after="60"/>
        <w:ind w:left="360" w:hanging="230"/>
      </w:pPr>
      <w:r>
        <w:t>Content-control decisions</w:t>
      </w:r>
    </w:p>
    <w:p>
      <w:pPr>
        <w:pStyle w:val="ListBullet"/>
        <w:spacing w:after="60"/>
        <w:ind w:left="360" w:hanging="230"/>
      </w:pPr>
      <w:r>
        <w:t>Quotas</w:t>
      </w:r>
    </w:p>
    <w:p>
      <w:pPr>
        <w:pStyle w:val="ListBullet"/>
        <w:spacing w:after="60"/>
        <w:ind w:left="360" w:hanging="230"/>
      </w:pPr>
      <w:r>
        <w:t>Logging</w:t>
      </w:r>
    </w:p>
    <w:p>
      <w:pPr>
        <w:pStyle w:val="ListBullet"/>
        <w:spacing w:after="60"/>
        <w:ind w:left="360" w:hanging="230"/>
      </w:pPr>
      <w:r>
        <w:t>Application connectivity</w:t>
      </w:r>
    </w:p>
    <w:p>
      <w:pPr>
        <w:pStyle w:val="Heading3"/>
      </w:pPr>
      <w:r>
        <w:t>16.4.7 Application Runtime</w:t>
      </w:r>
    </w:p>
    <w:p>
      <w:r>
        <w:t>The production application requires a defined Azure runtime and connection into the governed architecture.</w:t>
      </w:r>
    </w:p>
    <w:p>
      <w:pPr>
        <w:pStyle w:val="Heading3"/>
      </w:pPr>
      <w:r>
        <w:t>16.4.8 Messaging / Transaction Coordination</w:t>
      </w:r>
    </w:p>
    <w:p>
      <w:r>
        <w:t>The intended architecture includes controlled transaction movement between processing components.</w:t>
      </w:r>
    </w:p>
    <w:p>
      <w:pPr>
        <w:pStyle w:val="ListBullet"/>
        <w:spacing w:after="60"/>
        <w:ind w:left="360" w:hanging="230"/>
      </w:pPr>
      <w:r>
        <w:t>Queue/topic structure</w:t>
      </w:r>
    </w:p>
    <w:p>
      <w:pPr>
        <w:pStyle w:val="ListBullet"/>
        <w:spacing w:after="60"/>
        <w:ind w:left="360" w:hanging="230"/>
      </w:pPr>
      <w:r>
        <w:t>Identity</w:t>
      </w:r>
    </w:p>
    <w:p>
      <w:pPr>
        <w:pStyle w:val="ListBullet"/>
        <w:spacing w:after="60"/>
        <w:ind w:left="360" w:hanging="230"/>
      </w:pPr>
      <w:r>
        <w:t>Retry behavior</w:t>
      </w:r>
    </w:p>
    <w:p>
      <w:pPr>
        <w:pStyle w:val="ListBullet"/>
        <w:spacing w:after="60"/>
        <w:ind w:left="360" w:hanging="230"/>
      </w:pPr>
      <w:r>
        <w:t>Dead-letter behavior</w:t>
      </w:r>
    </w:p>
    <w:p>
      <w:pPr>
        <w:pStyle w:val="ListBullet"/>
        <w:spacing w:after="60"/>
        <w:ind w:left="360" w:hanging="230"/>
      </w:pPr>
      <w:r>
        <w:t>Correlation</w:t>
      </w:r>
    </w:p>
    <w:p>
      <w:pPr>
        <w:pStyle w:val="ListBullet"/>
        <w:spacing w:after="60"/>
        <w:ind w:left="360" w:hanging="230"/>
      </w:pPr>
      <w:r>
        <w:t>Ordering where required</w:t>
      </w:r>
    </w:p>
    <w:p>
      <w:pPr>
        <w:pStyle w:val="ListBullet"/>
        <w:spacing w:after="60"/>
        <w:ind w:left="360" w:hanging="230"/>
      </w:pPr>
      <w:r>
        <w:t>Failure handling</w:t>
      </w:r>
    </w:p>
    <w:p>
      <w:pPr>
        <w:pStyle w:val="ListBullet"/>
        <w:spacing w:after="60"/>
        <w:ind w:left="360" w:hanging="230"/>
      </w:pPr>
      <w:r>
        <w:t>Monitoring</w:t>
      </w:r>
    </w:p>
    <w:p>
      <w:pPr>
        <w:pStyle w:val="Heading3"/>
      </w:pPr>
      <w:r>
        <w:t>16.4.9 Observability</w:t>
      </w:r>
    </w:p>
    <w:p>
      <w:r>
        <w:t>The current deployment guide explicitly identifies observability as unfinished work.</w:t>
      </w:r>
    </w:p>
    <w:p>
      <w:pPr>
        <w:pStyle w:val="ListBullet"/>
        <w:spacing w:after="60"/>
        <w:ind w:left="360" w:hanging="230"/>
      </w:pPr>
      <w:r>
        <w:t>Diagnostic settings</w:t>
      </w:r>
    </w:p>
    <w:p>
      <w:pPr>
        <w:pStyle w:val="ListBullet"/>
        <w:spacing w:after="60"/>
        <w:ind w:left="360" w:hanging="230"/>
      </w:pPr>
      <w:r>
        <w:t>Log Analytics</w:t>
      </w:r>
    </w:p>
    <w:p>
      <w:pPr>
        <w:pStyle w:val="ListBullet"/>
        <w:spacing w:after="60"/>
        <w:ind w:left="360" w:hanging="230"/>
      </w:pPr>
      <w:r>
        <w:t>Application telemetry</w:t>
      </w:r>
    </w:p>
    <w:p>
      <w:pPr>
        <w:pStyle w:val="ListBullet"/>
        <w:spacing w:after="60"/>
        <w:ind w:left="360" w:hanging="230"/>
      </w:pPr>
      <w:r>
        <w:t>Alerts</w:t>
      </w:r>
    </w:p>
    <w:p>
      <w:pPr>
        <w:pStyle w:val="ListBullet"/>
        <w:spacing w:after="60"/>
        <w:ind w:left="360" w:hanging="230"/>
      </w:pPr>
      <w:r>
        <w:t>Access events</w:t>
      </w:r>
    </w:p>
    <w:p>
      <w:pPr>
        <w:pStyle w:val="ListBullet"/>
        <w:spacing w:after="60"/>
        <w:ind w:left="360" w:hanging="230"/>
      </w:pPr>
      <w:r>
        <w:t>Failures</w:t>
      </w:r>
    </w:p>
    <w:p>
      <w:pPr>
        <w:pStyle w:val="ListBullet"/>
        <w:spacing w:after="60"/>
        <w:ind w:left="360" w:hanging="230"/>
      </w:pPr>
      <w:r>
        <w:t>Latency</w:t>
      </w:r>
    </w:p>
    <w:p>
      <w:pPr>
        <w:pStyle w:val="ListBullet"/>
        <w:spacing w:after="60"/>
        <w:ind w:left="360" w:hanging="230"/>
      </w:pPr>
      <w:r>
        <w:t>Policy events</w:t>
      </w:r>
    </w:p>
    <w:p>
      <w:pPr>
        <w:pStyle w:val="ListBullet"/>
        <w:spacing w:after="60"/>
        <w:ind w:left="360" w:hanging="230"/>
      </w:pPr>
      <w:r>
        <w:t>Deployment changes</w:t>
      </w:r>
    </w:p>
    <w:p>
      <w:pPr>
        <w:pStyle w:val="ListBullet"/>
        <w:spacing w:after="60"/>
        <w:ind w:left="360" w:hanging="230"/>
      </w:pPr>
      <w:r>
        <w:t>Correlation identifiers</w:t>
      </w:r>
    </w:p>
    <w:p>
      <w:pPr>
        <w:pStyle w:val="Heading3"/>
      </w:pPr>
      <w:r>
        <w:t>16.4.10 Environment Separation</w:t>
      </w:r>
    </w:p>
    <w:p>
      <w:r>
        <w:t>Development, test, pilot, and production-like environments should become reproducible rather than manually divergent.</w:t>
      </w:r>
    </w:p>
    <w:p>
      <w:pPr>
        <w:pStyle w:val="Heading3"/>
      </w:pPr>
      <w:r>
        <w:t>16.4.11 Infrastructure Validation</w:t>
      </w:r>
    </w:p>
    <w:p>
      <w:r>
        <w:t>The DRE validation document defines the intended role of runtests_ts as converting infrastructure design into repeatable evidence.</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RECOMMENDED VALIDATION SEQUENCE</w:t>
              <w:br/>
            </w:r>
            <w:r>
              <w:t>Static checks → ephemeral deployment → control assertions → connectivity testing → data/model testing → evidence capture → cleanup.</w:t>
            </w:r>
          </w:p>
        </w:tc>
      </w:tr>
    </w:tbl>
    <w:p/>
    <w:p>
      <w:r>
        <w:t>That is important because enterprise hardening is not complete merely when resources exist.</w:t>
      </w:r>
    </w:p>
    <w:p>
      <w:r>
        <w:t>The controls must be tested.</w:t>
      </w:r>
    </w:p>
    <w:p>
      <w:pPr>
        <w:pStyle w:val="Heading3"/>
      </w:pPr>
      <w:r>
        <w:t>16.4.12 Negative Security Testing</w:t>
      </w:r>
    </w:p>
    <w:p>
      <w:r>
        <w:t>Validation should prove denied paths as well as successful ones.</w:t>
      </w:r>
    </w:p>
    <w:p>
      <w:r>
        <w:t>The source validation plan specifically identifies future tests confirming that public or unauthorized paths fail after the private-access design is implemented. DRE_runtests_ts_Relevance_and_Infrastructure_Validation.docx</w:t>
      </w:r>
    </w:p>
    <w:p>
      <w:r>
        <w:t>This turns statements such as “private” or “restricted” into evidence-backed claims.</w:t>
      </w:r>
    </w:p>
    <w:p>
      <w:pPr>
        <w:pStyle w:val="Heading3"/>
      </w:pPr>
      <w:r>
        <w:t>16.4.13 Repeatability</w:t>
      </w:r>
    </w:p>
    <w:p>
      <w:r>
        <w:t>A customer deployment should eventually be repeatable from controlled infrastructure definitions.</w:t>
      </w:r>
    </w:p>
    <w:p>
      <w:pPr>
        <w:pStyle w:val="ListBullet"/>
        <w:spacing w:after="60"/>
        <w:ind w:left="360" w:hanging="230"/>
      </w:pPr>
      <w:r>
        <w:t>Predictable resource creation</w:t>
      </w:r>
    </w:p>
    <w:p>
      <w:pPr>
        <w:pStyle w:val="ListBullet"/>
        <w:spacing w:after="60"/>
        <w:ind w:left="360" w:hanging="230"/>
      </w:pPr>
      <w:r>
        <w:t>Known configuration</w:t>
      </w:r>
    </w:p>
    <w:p>
      <w:pPr>
        <w:pStyle w:val="ListBullet"/>
        <w:spacing w:after="60"/>
        <w:ind w:left="360" w:hanging="230"/>
      </w:pPr>
      <w:r>
        <w:t>Environment-specific parameters</w:t>
      </w:r>
    </w:p>
    <w:p>
      <w:pPr>
        <w:pStyle w:val="ListBullet"/>
        <w:spacing w:after="60"/>
        <w:ind w:left="360" w:hanging="230"/>
      </w:pPr>
      <w:r>
        <w:t>Deployment evidence</w:t>
      </w:r>
    </w:p>
    <w:p>
      <w:pPr>
        <w:pStyle w:val="ListBullet"/>
        <w:spacing w:after="60"/>
        <w:ind w:left="360" w:hanging="230"/>
      </w:pPr>
      <w:r>
        <w:t>Validation evidence</w:t>
      </w:r>
    </w:p>
    <w:p>
      <w:pPr>
        <w:pStyle w:val="ListBullet"/>
        <w:spacing w:after="60"/>
        <w:ind w:left="360" w:hanging="230"/>
      </w:pPr>
      <w:r>
        <w:t>Controlled updates</w:t>
      </w:r>
    </w:p>
    <w:p>
      <w:pPr>
        <w:pStyle w:val="ListBullet"/>
        <w:spacing w:after="60"/>
        <w:ind w:left="360" w:hanging="230"/>
      </w:pPr>
      <w:r>
        <w:t>Controlled rollback/recovery strategy</w:t>
      </w:r>
    </w:p>
    <w:p>
      <w:pPr>
        <w:pStyle w:val="ListBullet"/>
        <w:spacing w:after="60"/>
        <w:ind w:left="360" w:hanging="230"/>
      </w:pPr>
      <w:r>
        <w:t>Minimal undocumented manual configuration</w:t>
      </w:r>
    </w:p>
    <w:p>
      <w:pPr>
        <w:pStyle w:val="Heading3"/>
      </w:pPr>
      <w:r>
        <w:t>16.4.14 Recovery</w:t>
      </w:r>
    </w:p>
    <w:p>
      <w:r>
        <w:t>Production readiness also requires defined failure and recovery behavior.</w:t>
      </w:r>
    </w:p>
    <w:p>
      <w:pPr>
        <w:pStyle w:val="ListBullet"/>
        <w:spacing w:after="60"/>
        <w:ind w:left="360" w:hanging="230"/>
      </w:pPr>
      <w:r>
        <w:t>Application failure</w:t>
      </w:r>
    </w:p>
    <w:p>
      <w:pPr>
        <w:pStyle w:val="ListBullet"/>
        <w:spacing w:after="60"/>
        <w:ind w:left="360" w:hanging="230"/>
      </w:pPr>
      <w:r>
        <w:t>AI-service failure</w:t>
      </w:r>
    </w:p>
    <w:p>
      <w:pPr>
        <w:pStyle w:val="ListBullet"/>
        <w:spacing w:after="60"/>
        <w:ind w:left="360" w:hanging="230"/>
      </w:pPr>
      <w:r>
        <w:t>Data-layer failure</w:t>
      </w:r>
    </w:p>
    <w:p>
      <w:pPr>
        <w:pStyle w:val="ListBullet"/>
        <w:spacing w:after="60"/>
        <w:ind w:left="360" w:hanging="230"/>
      </w:pPr>
      <w:r>
        <w:t>Connectivity failure</w:t>
      </w:r>
    </w:p>
    <w:p>
      <w:pPr>
        <w:pStyle w:val="ListBullet"/>
        <w:spacing w:after="60"/>
        <w:ind w:left="360" w:hanging="230"/>
      </w:pPr>
      <w:r>
        <w:t>Deployment failure</w:t>
      </w:r>
    </w:p>
    <w:p>
      <w:pPr>
        <w:pStyle w:val="ListBullet"/>
        <w:spacing w:after="60"/>
        <w:ind w:left="360" w:hanging="230"/>
      </w:pPr>
      <w:r>
        <w:t>Configuration failure</w:t>
      </w:r>
    </w:p>
    <w:p>
      <w:pPr>
        <w:pStyle w:val="ListBullet"/>
        <w:spacing w:after="60"/>
        <w:ind w:left="360" w:hanging="230"/>
      </w:pPr>
      <w:r>
        <w:t>Human-review continuity</w:t>
      </w:r>
    </w:p>
    <w:p>
      <w:pPr>
        <w:pStyle w:val="ListBullet"/>
        <w:spacing w:after="60"/>
        <w:ind w:left="360" w:hanging="230"/>
      </w:pPr>
      <w:r>
        <w:t>Audit-record preservation</w:t>
      </w:r>
    </w:p>
    <w:p>
      <w:pPr>
        <w:pStyle w:val="ListBullet"/>
        <w:spacing w:after="60"/>
        <w:ind w:left="360" w:hanging="230"/>
      </w:pPr>
      <w:r>
        <w:t>Backup/recovery</w:t>
      </w:r>
    </w:p>
    <w:p>
      <w:pPr>
        <w:pStyle w:val="ListBullet"/>
        <w:spacing w:after="60"/>
        <w:ind w:left="360" w:hanging="230"/>
      </w:pPr>
      <w:r>
        <w:t>Environment restoration</w:t>
      </w:r>
    </w:p>
    <w:p>
      <w:pPr>
        <w:pStyle w:val="Heading3"/>
      </w:pPr>
      <w:r>
        <w:t>16.4.15 Retention and Governance</w:t>
      </w:r>
    </w:p>
    <w:p>
      <w:r>
        <w:t>Production deployment requires explicit decisions about:</w:t>
      </w:r>
    </w:p>
    <w:p>
      <w:pPr>
        <w:pStyle w:val="ListBullet"/>
        <w:spacing w:after="60"/>
        <w:ind w:left="360" w:hanging="230"/>
      </w:pPr>
      <w:r>
        <w:t>Transaction retention</w:t>
      </w:r>
    </w:p>
    <w:p>
      <w:pPr>
        <w:pStyle w:val="ListBullet"/>
        <w:spacing w:after="60"/>
        <w:ind w:left="360" w:hanging="230"/>
      </w:pPr>
      <w:r>
        <w:t>Audit retention</w:t>
      </w:r>
    </w:p>
    <w:p>
      <w:pPr>
        <w:pStyle w:val="ListBullet"/>
        <w:spacing w:after="60"/>
        <w:ind w:left="360" w:hanging="230"/>
      </w:pPr>
      <w:r>
        <w:t>Logs</w:t>
      </w:r>
    </w:p>
    <w:p>
      <w:pPr>
        <w:pStyle w:val="ListBullet"/>
        <w:spacing w:after="60"/>
        <w:ind w:left="360" w:hanging="230"/>
      </w:pPr>
      <w:r>
        <w:t>Customer data</w:t>
      </w:r>
    </w:p>
    <w:p>
      <w:pPr>
        <w:pStyle w:val="ListBullet"/>
        <w:spacing w:after="60"/>
        <w:ind w:left="360" w:hanging="230"/>
      </w:pPr>
      <w:r>
        <w:t>Human-review records</w:t>
      </w:r>
    </w:p>
    <w:p>
      <w:pPr>
        <w:pStyle w:val="ListBullet"/>
        <w:spacing w:after="60"/>
        <w:ind w:left="360" w:hanging="230"/>
      </w:pPr>
      <w:r>
        <w:t>Policy versions</w:t>
      </w:r>
    </w:p>
    <w:p>
      <w:pPr>
        <w:pStyle w:val="ListBullet"/>
        <w:spacing w:after="60"/>
        <w:ind w:left="360" w:hanging="230"/>
      </w:pPr>
      <w:r>
        <w:t>Backups</w:t>
      </w:r>
    </w:p>
    <w:p>
      <w:pPr>
        <w:pStyle w:val="ListBullet"/>
        <w:spacing w:after="60"/>
        <w:ind w:left="360" w:hanging="230"/>
      </w:pPr>
      <w:r>
        <w:t>Deletion</w:t>
      </w:r>
    </w:p>
    <w:p>
      <w:pPr>
        <w:pStyle w:val="ListBullet"/>
        <w:spacing w:after="60"/>
        <w:ind w:left="360" w:hanging="230"/>
      </w:pPr>
      <w:r>
        <w:t>Evidence required for governance</w:t>
      </w:r>
    </w:p>
    <w:p>
      <w:pPr>
        <w:pStyle w:val="Heading3"/>
      </w:pPr>
      <w:r>
        <w:t>16.4.16 Customer Deployment Package</w:t>
      </w:r>
    </w:p>
    <w:p>
      <w:r>
        <w:t>A mature customer deployment should eventually have a repeatable package containing the necessary combination of:</w:t>
      </w:r>
    </w:p>
    <w:p>
      <w:pPr>
        <w:pStyle w:val="ListBullet"/>
        <w:spacing w:after="60"/>
        <w:ind w:left="360" w:hanging="230"/>
      </w:pPr>
      <w:r>
        <w:t>DRE application</w:t>
      </w:r>
    </w:p>
    <w:p>
      <w:pPr>
        <w:pStyle w:val="ListBullet"/>
        <w:spacing w:after="60"/>
        <w:ind w:left="360" w:hanging="230"/>
      </w:pPr>
      <w:r>
        <w:t>Infrastructure definitions</w:t>
      </w:r>
    </w:p>
    <w:p>
      <w:pPr>
        <w:pStyle w:val="ListBullet"/>
        <w:spacing w:after="60"/>
        <w:ind w:left="360" w:hanging="230"/>
      </w:pPr>
      <w:r>
        <w:t>Configuration</w:t>
      </w:r>
    </w:p>
    <w:p>
      <w:pPr>
        <w:pStyle w:val="ListBullet"/>
        <w:spacing w:after="60"/>
        <w:ind w:left="360" w:hanging="230"/>
      </w:pPr>
      <w:r>
        <w:t>Deployment instructions</w:t>
      </w:r>
    </w:p>
    <w:p>
      <w:pPr>
        <w:pStyle w:val="ListBullet"/>
        <w:spacing w:after="60"/>
        <w:ind w:left="360" w:hanging="230"/>
      </w:pPr>
      <w:r>
        <w:t>Customer prerequisites</w:t>
      </w:r>
    </w:p>
    <w:p>
      <w:pPr>
        <w:pStyle w:val="ListBullet"/>
        <w:spacing w:after="60"/>
        <w:ind w:left="360" w:hanging="230"/>
      </w:pPr>
      <w:r>
        <w:t>Identity requirements</w:t>
      </w:r>
    </w:p>
    <w:p>
      <w:pPr>
        <w:pStyle w:val="ListBullet"/>
        <w:spacing w:after="60"/>
        <w:ind w:left="360" w:hanging="230"/>
      </w:pPr>
      <w:r>
        <w:t>Network requirements</w:t>
      </w:r>
    </w:p>
    <w:p>
      <w:pPr>
        <w:pStyle w:val="ListBullet"/>
        <w:spacing w:after="60"/>
        <w:ind w:left="360" w:hanging="230"/>
      </w:pPr>
      <w:r>
        <w:t>Data requirements</w:t>
      </w:r>
    </w:p>
    <w:p>
      <w:pPr>
        <w:pStyle w:val="ListBullet"/>
        <w:spacing w:after="60"/>
        <w:ind w:left="360" w:hanging="230"/>
      </w:pPr>
      <w:r>
        <w:t>OCG configuration</w:t>
      </w:r>
    </w:p>
    <w:p>
      <w:pPr>
        <w:pStyle w:val="ListBullet"/>
        <w:spacing w:after="60"/>
        <w:ind w:left="360" w:hanging="230"/>
      </w:pPr>
      <w:r>
        <w:t>Validation tooling</w:t>
      </w:r>
    </w:p>
    <w:p>
      <w:pPr>
        <w:pStyle w:val="ListBullet"/>
        <w:spacing w:after="60"/>
        <w:ind w:left="360" w:hanging="230"/>
      </w:pPr>
      <w:r>
        <w:t>Documentation</w:t>
      </w:r>
    </w:p>
    <w:p>
      <w:pPr>
        <w:pStyle w:val="ListBullet"/>
        <w:spacing w:after="60"/>
        <w:ind w:left="360" w:hanging="230"/>
      </w:pPr>
      <w:r>
        <w:t>Support information</w:t>
      </w:r>
    </w:p>
    <w:p>
      <w:pPr>
        <w:pStyle w:val="ListBullet"/>
        <w:spacing w:after="60"/>
        <w:ind w:left="360" w:hanging="230"/>
      </w:pPr>
      <w:r>
        <w:t>Responsibility matrix</w:t>
      </w:r>
    </w:p>
    <w:p>
      <w:pPr>
        <w:pStyle w:val="Heading3"/>
      </w:pPr>
      <w:r>
        <w:t>16.4.17 Pilot Deployment</w:t>
      </w:r>
    </w:p>
    <w:p>
      <w:r>
        <w:t>Before broad production commercialization, DRE can move through controlled customer pilot deployment.</w:t>
      </w:r>
    </w:p>
    <w:p>
      <w:pPr>
        <w:pStyle w:val="ListBullet"/>
        <w:spacing w:after="60"/>
        <w:ind w:left="360" w:hanging="230"/>
      </w:pPr>
      <w:r>
        <w:t>Actual customer Azure requirements</w:t>
      </w:r>
    </w:p>
    <w:p>
      <w:pPr>
        <w:pStyle w:val="ListBullet"/>
        <w:spacing w:after="60"/>
        <w:ind w:left="360" w:hanging="230"/>
      </w:pPr>
      <w:r>
        <w:t>Enterprise security review</w:t>
      </w:r>
    </w:p>
    <w:p>
      <w:pPr>
        <w:pStyle w:val="ListBullet"/>
        <w:spacing w:after="60"/>
        <w:ind w:left="360" w:hanging="230"/>
      </w:pPr>
      <w:r>
        <w:t>Deployment friction</w:t>
      </w:r>
    </w:p>
    <w:p>
      <w:pPr>
        <w:pStyle w:val="ListBullet"/>
        <w:spacing w:after="60"/>
        <w:ind w:left="360" w:hanging="230"/>
      </w:pPr>
      <w:r>
        <w:t>Billing-format variability</w:t>
      </w:r>
    </w:p>
    <w:p>
      <w:pPr>
        <w:pStyle w:val="ListBullet"/>
        <w:spacing w:after="60"/>
        <w:ind w:left="360" w:hanging="230"/>
      </w:pPr>
      <w:r>
        <w:t>OCG variability</w:t>
      </w:r>
    </w:p>
    <w:p>
      <w:pPr>
        <w:pStyle w:val="ListBullet"/>
        <w:spacing w:after="60"/>
        <w:ind w:left="360" w:hanging="230"/>
      </w:pPr>
      <w:r>
        <w:t>User workflow</w:t>
      </w:r>
    </w:p>
    <w:p>
      <w:pPr>
        <w:pStyle w:val="ListBullet"/>
        <w:spacing w:after="60"/>
        <w:ind w:left="360" w:hanging="230"/>
      </w:pPr>
      <w:r>
        <w:t>Human review</w:t>
      </w:r>
    </w:p>
    <w:p>
      <w:pPr>
        <w:pStyle w:val="ListBullet"/>
        <w:spacing w:after="60"/>
        <w:ind w:left="360" w:hanging="230"/>
      </w:pPr>
      <w:r>
        <w:t>System reliability</w:t>
      </w:r>
    </w:p>
    <w:p>
      <w:pPr>
        <w:pStyle w:val="ListBullet"/>
        <w:spacing w:after="60"/>
        <w:ind w:left="360" w:hanging="230"/>
      </w:pPr>
      <w:r>
        <w:t>Support requirements</w:t>
      </w:r>
    </w:p>
    <w:p>
      <w:pPr>
        <w:pStyle w:val="ListBullet"/>
        <w:spacing w:after="60"/>
        <w:ind w:left="360" w:hanging="230"/>
      </w:pPr>
      <w:r>
        <w:t>Commercial operation</w:t>
      </w:r>
    </w:p>
    <w:p>
      <w:pPr>
        <w:pStyle w:val="Heading3"/>
      </w:pPr>
      <w:r>
        <w:t>16.4.18 Commercial Deployment</w:t>
      </w:r>
    </w:p>
    <w:p>
      <w:r>
        <w:t>Commercial deployment occurs when DRE is operating under an actual customer relationship with the required product, infrastructure, validation, security, contractual, and support controls established for that engagement.</w:t>
      </w:r>
    </w:p>
    <w:p>
      <w:pPr>
        <w:pStyle w:val="ListBullet"/>
        <w:spacing w:after="60"/>
        <w:ind w:left="360" w:hanging="230"/>
      </w:pPr>
      <w:r>
        <w:t>Customer environment deployed</w:t>
      </w:r>
    </w:p>
    <w:p>
      <w:pPr>
        <w:pStyle w:val="ListBullet"/>
        <w:spacing w:after="60"/>
        <w:ind w:left="360" w:hanging="230"/>
      </w:pPr>
      <w:r>
        <w:t>Product validation completed</w:t>
      </w:r>
    </w:p>
    <w:p>
      <w:pPr>
        <w:pStyle w:val="ListBullet"/>
        <w:spacing w:after="60"/>
        <w:ind w:left="360" w:hanging="230"/>
      </w:pPr>
      <w:r>
        <w:t>Authorized users established</w:t>
      </w:r>
    </w:p>
    <w:p>
      <w:pPr>
        <w:pStyle w:val="ListBullet"/>
        <w:spacing w:after="60"/>
        <w:ind w:left="360" w:hanging="230"/>
      </w:pPr>
      <w:r>
        <w:t>Customer data path established</w:t>
      </w:r>
    </w:p>
    <w:p>
      <w:pPr>
        <w:pStyle w:val="ListBullet"/>
        <w:spacing w:after="60"/>
        <w:ind w:left="360" w:hanging="230"/>
      </w:pPr>
      <w:r>
        <w:t>Processing operational</w:t>
      </w:r>
    </w:p>
    <w:p>
      <w:pPr>
        <w:pStyle w:val="ListBullet"/>
        <w:spacing w:after="60"/>
        <w:ind w:left="360" w:hanging="230"/>
      </w:pPr>
      <w:r>
        <w:t>Human authority established</w:t>
      </w:r>
    </w:p>
    <w:p>
      <w:pPr>
        <w:pStyle w:val="ListBullet"/>
        <w:spacing w:after="60"/>
        <w:ind w:left="360" w:hanging="230"/>
      </w:pPr>
      <w:r>
        <w:t>Support relationship established</w:t>
      </w:r>
    </w:p>
    <w:p>
      <w:pPr>
        <w:pStyle w:val="ListBullet"/>
        <w:spacing w:after="60"/>
        <w:ind w:left="360" w:hanging="230"/>
      </w:pPr>
      <w:r>
        <w:t>Commercial agreement active</w:t>
      </w:r>
    </w:p>
    <w:p>
      <w:pPr>
        <w:pStyle w:val="Heading3"/>
      </w:pPr>
      <w:r>
        <w:t>16.4.19 Microsoft Progression</w:t>
      </w:r>
    </w:p>
    <w:p>
      <w:r>
        <w:t>Enterprise hardening also advances DRE’s Microsoft strategy.</w:t>
      </w:r>
    </w:p>
    <w:p>
      <w:pPr>
        <w:pStyle w:val="ListBullet"/>
        <w:spacing w:after="60"/>
        <w:ind w:left="360" w:hanging="230"/>
      </w:pPr>
      <w:r>
        <w:t>Legitimate Azure workloads</w:t>
      </w:r>
    </w:p>
    <w:p>
      <w:pPr>
        <w:pStyle w:val="ListBullet"/>
        <w:spacing w:after="60"/>
        <w:ind w:left="360" w:hanging="230"/>
      </w:pPr>
      <w:r>
        <w:t>Sustained Azure consumption</w:t>
      </w:r>
    </w:p>
    <w:p>
      <w:pPr>
        <w:pStyle w:val="ListBullet"/>
        <w:spacing w:after="60"/>
        <w:ind w:left="360" w:hanging="230"/>
      </w:pPr>
      <w:r>
        <w:t>Product evidence</w:t>
      </w:r>
    </w:p>
    <w:p>
      <w:pPr>
        <w:pStyle w:val="ListBullet"/>
        <w:spacing w:after="60"/>
        <w:ind w:left="360" w:hanging="230"/>
      </w:pPr>
      <w:r>
        <w:t>Customer evidence</w:t>
      </w:r>
    </w:p>
    <w:p>
      <w:pPr>
        <w:pStyle w:val="ListBullet"/>
        <w:spacing w:after="60"/>
        <w:ind w:left="360" w:hanging="230"/>
      </w:pPr>
      <w:r>
        <w:t>Technical-validation readiness</w:t>
      </w:r>
    </w:p>
    <w:p>
      <w:pPr>
        <w:pStyle w:val="ListBullet"/>
        <w:spacing w:after="60"/>
        <w:ind w:left="360" w:hanging="230"/>
      </w:pPr>
      <w:r>
        <w:t>Marketplace readiness</w:t>
      </w:r>
    </w:p>
    <w:p>
      <w:pPr>
        <w:pStyle w:val="Heading3"/>
      </w:pPr>
      <w:r>
        <w:t>16.4.20 Marketplace Readiness</w:t>
      </w:r>
    </w:p>
    <w:p>
      <w:r>
        <w:t>Marketplace becomes relevant when DRE has enough commercial definition to answer:</w:t>
      </w:r>
    </w:p>
    <w:p>
      <w:pPr>
        <w:pStyle w:val="ListBullet"/>
        <w:spacing w:after="60"/>
        <w:ind w:left="360" w:hanging="230"/>
      </w:pPr>
      <w:r>
        <w:t>What exactly is being purchased?</w:t>
      </w:r>
    </w:p>
    <w:p>
      <w:pPr>
        <w:pStyle w:val="ListBullet"/>
        <w:spacing w:after="60"/>
        <w:ind w:left="360" w:hanging="230"/>
      </w:pPr>
      <w:r>
        <w:t>How is it priced?</w:t>
      </w:r>
    </w:p>
    <w:p>
      <w:pPr>
        <w:pStyle w:val="ListBullet"/>
        <w:spacing w:after="60"/>
        <w:ind w:left="360" w:hanging="230"/>
      </w:pPr>
      <w:r>
        <w:t>How is it deployed?</w:t>
      </w:r>
    </w:p>
    <w:p>
      <w:pPr>
        <w:pStyle w:val="ListBullet"/>
        <w:spacing w:after="60"/>
        <w:ind w:left="360" w:hanging="230"/>
      </w:pPr>
      <w:r>
        <w:t>What does the customer receive?</w:t>
      </w:r>
    </w:p>
    <w:p>
      <w:pPr>
        <w:pStyle w:val="ListBullet"/>
        <w:spacing w:after="60"/>
        <w:ind w:left="360" w:hanging="230"/>
      </w:pPr>
      <w:r>
        <w:t>What support exists?</w:t>
      </w:r>
    </w:p>
    <w:p>
      <w:pPr>
        <w:pStyle w:val="ListBullet"/>
        <w:spacing w:after="60"/>
        <w:ind w:left="360" w:hanging="230"/>
      </w:pPr>
      <w:r>
        <w:t>What terms apply?</w:t>
      </w:r>
    </w:p>
    <w:p>
      <w:pPr>
        <w:pStyle w:val="ListBullet"/>
        <w:spacing w:after="60"/>
        <w:ind w:left="360" w:hanging="230"/>
      </w:pPr>
      <w:r>
        <w:t>What Azure architecture is required?</w:t>
      </w:r>
    </w:p>
    <w:p>
      <w:pPr>
        <w:pStyle w:val="ListBullet"/>
        <w:spacing w:after="60"/>
        <w:ind w:left="360" w:hanging="230"/>
      </w:pPr>
      <w:r>
        <w:t>How does onboarding work?</w:t>
      </w:r>
    </w:p>
    <w:p>
      <w:pPr>
        <w:pStyle w:val="Heading3"/>
      </w:pPr>
      <w:r>
        <w:t>16.4.21 Phase 4 Exit Condition</w:t>
      </w:r>
    </w:p>
    <w:p>
      <w:r>
        <w:t>Phase 4 reaches its meaningful exit when DRE can be:</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EXIT CONDITION</w:t>
              <w:br/>
            </w:r>
            <w:r>
              <w:t>Deployed repeatably into an authorized customer Azure environment, validated against defined controls, connected through the intended architecture, operated with observable and auditable behavior, used with real customer legal-billing workflows, supported commercially, and represented accurately as an enterprise deployment rather than a demonstration.</w:t>
            </w:r>
          </w:p>
        </w:tc>
      </w:tr>
    </w:tbl>
    <w:p/>
    <w:p>
      <w:pPr>
        <w:pStyle w:val="Heading2"/>
      </w:pPr>
      <w:r>
        <w:t>16.5 Roadmap Relationship</w:t>
      </w:r>
    </w:p>
    <w:p>
      <w:r>
        <w:t>The four phases form a progression in evidence:</w:t>
      </w:r>
    </w:p>
    <w:tbl>
      <w:tblPr>
        <w:tblStyle w:val="TableGrid"/>
        <w:tblW w:type="auto" w:w="0"/>
        <w:jc w:val="center"/>
        <w:tblLook w:firstColumn="1" w:firstRow="1" w:lastColumn="0" w:lastRow="0" w:noHBand="0" w:noVBand="1" w:val="04A0"/>
      </w:tblPr>
      <w:tblGrid>
        <w:gridCol w:w="3293"/>
        <w:gridCol w:w="3293"/>
        <w:gridCol w:w="3293"/>
      </w:tblGrid>
      <w:tr>
        <w:tc>
          <w:tcPr>
            <w:tcW w:type="dxa" w:w="3293"/>
            <w:vAlign w:val="center"/>
            <w:tcMar>
              <w:top w:w="110" w:type="dxa"/>
              <w:start w:w="110" w:type="dxa"/>
              <w:bottom w:w="110" w:type="dxa"/>
              <w:end w:w="110" w:type="dxa"/>
            </w:tcMar>
            <w:shd w:fill="16324F"/>
          </w:tcPr>
          <w:p>
            <w:pPr>
              <w:spacing w:after="0"/>
            </w:pPr>
            <w:r/>
            <w:r>
              <w:rPr>
                <w:rFonts w:ascii="Aptos" w:hAnsi="Aptos"/>
                <w:b/>
                <w:color w:val="FFFFFF"/>
                <w:sz w:val="16"/>
              </w:rPr>
              <w:t>PHASE</w:t>
            </w:r>
          </w:p>
        </w:tc>
        <w:tc>
          <w:tcPr>
            <w:tcW w:type="dxa" w:w="3293"/>
            <w:vAlign w:val="center"/>
            <w:tcMar>
              <w:top w:w="110" w:type="dxa"/>
              <w:start w:w="110" w:type="dxa"/>
              <w:bottom w:w="110" w:type="dxa"/>
              <w:end w:w="110" w:type="dxa"/>
            </w:tcMar>
            <w:shd w:fill="16324F"/>
          </w:tcPr>
          <w:p>
            <w:pPr>
              <w:spacing w:after="0"/>
            </w:pPr>
            <w:r/>
            <w:r>
              <w:rPr>
                <w:rFonts w:ascii="Aptos" w:hAnsi="Aptos"/>
                <w:b/>
                <w:color w:val="FFFFFF"/>
                <w:sz w:val="16"/>
              </w:rPr>
              <w:t>PRIMARY QUESTION</w:t>
            </w:r>
          </w:p>
        </w:tc>
        <w:tc>
          <w:tcPr>
            <w:tcW w:type="dxa" w:w="3293"/>
            <w:vAlign w:val="center"/>
            <w:tcMar>
              <w:top w:w="110" w:type="dxa"/>
              <w:start w:w="110" w:type="dxa"/>
              <w:bottom w:w="110" w:type="dxa"/>
              <w:end w:w="110" w:type="dxa"/>
            </w:tcMar>
            <w:shd w:fill="16324F"/>
          </w:tcPr>
          <w:p>
            <w:pPr>
              <w:spacing w:after="0"/>
            </w:pPr>
            <w:r/>
            <w:r>
              <w:rPr>
                <w:rFonts w:ascii="Aptos" w:hAnsi="Aptos"/>
                <w:b/>
                <w:color w:val="FFFFFF"/>
                <w:sz w:val="16"/>
              </w:rPr>
              <w:t>PRIMARY EVIDENCE</w:t>
            </w:r>
          </w:p>
        </w:tc>
      </w:tr>
      <w:tr>
        <w:tc>
          <w:tcPr>
            <w:tcW w:type="dxa" w:w="3293"/>
            <w:vAlign w:val="center"/>
            <w:tcMar>
              <w:top w:w="110" w:type="dxa"/>
              <w:start w:w="110" w:type="dxa"/>
              <w:bottom w:w="110" w:type="dxa"/>
              <w:end w:w="110" w:type="dxa"/>
            </w:tcMar>
            <w:shd w:fill="FFFFFF"/>
          </w:tcPr>
          <w:p>
            <w:pPr>
              <w:spacing w:after="0"/>
            </w:pPr>
            <w:r/>
            <w:r>
              <w:rPr>
                <w:rFonts w:ascii="Aptos" w:hAnsi="Aptos"/>
                <w:b w:val="0"/>
                <w:color w:val="24313C"/>
                <w:sz w:val="16"/>
              </w:rPr>
              <w:t>1 — Demonstrable DRE</w:t>
            </w:r>
          </w:p>
        </w:tc>
        <w:tc>
          <w:tcPr>
            <w:tcW w:type="dxa" w:w="3293"/>
            <w:vAlign w:val="center"/>
            <w:tcMar>
              <w:top w:w="110" w:type="dxa"/>
              <w:start w:w="110" w:type="dxa"/>
              <w:bottom w:w="110" w:type="dxa"/>
              <w:end w:w="110" w:type="dxa"/>
            </w:tcMar>
            <w:shd w:fill="FFFFFF"/>
          </w:tcPr>
          <w:p>
            <w:pPr>
              <w:spacing w:after="0"/>
            </w:pPr>
            <w:r/>
            <w:r>
              <w:rPr>
                <w:rFonts w:ascii="Aptos" w:hAnsi="Aptos"/>
                <w:b w:val="0"/>
                <w:color w:val="24313C"/>
                <w:sz w:val="16"/>
              </w:rPr>
              <w:t>Does the core product actually work in a form someone else can evaluate?</w:t>
            </w:r>
          </w:p>
        </w:tc>
        <w:tc>
          <w:tcPr>
            <w:tcW w:type="dxa" w:w="3293"/>
            <w:vAlign w:val="center"/>
            <w:tcMar>
              <w:top w:w="110" w:type="dxa"/>
              <w:start w:w="110" w:type="dxa"/>
              <w:bottom w:w="110" w:type="dxa"/>
              <w:end w:w="110" w:type="dxa"/>
            </w:tcMar>
            <w:shd w:fill="FFFFFF"/>
          </w:tcPr>
          <w:p>
            <w:pPr>
              <w:spacing w:after="0"/>
            </w:pPr>
            <w:r/>
            <w:r>
              <w:rPr>
                <w:rFonts w:ascii="Aptos" w:hAnsi="Aptos"/>
                <w:b w:val="0"/>
                <w:color w:val="24313C"/>
                <w:sz w:val="16"/>
              </w:rPr>
              <w:t>Working synthetic-data demonstration</w:t>
            </w:r>
          </w:p>
        </w:tc>
      </w:tr>
      <w:tr>
        <w:tc>
          <w:tcPr>
            <w:tcW w:type="dxa" w:w="3293"/>
            <w:vAlign w:val="center"/>
            <w:tcMar>
              <w:top w:w="110" w:type="dxa"/>
              <w:start w:w="110" w:type="dxa"/>
              <w:bottom w:w="110" w:type="dxa"/>
              <w:end w:w="110" w:type="dxa"/>
            </w:tcMar>
            <w:shd w:fill="F4F7F9"/>
          </w:tcPr>
          <w:p>
            <w:pPr>
              <w:spacing w:after="0"/>
            </w:pPr>
            <w:r/>
            <w:r>
              <w:rPr>
                <w:rFonts w:ascii="Aptos" w:hAnsi="Aptos"/>
                <w:b w:val="0"/>
                <w:color w:val="24313C"/>
                <w:sz w:val="16"/>
              </w:rPr>
              <w:t>2 — Live Validation &amp; Customer Evidence</w:t>
            </w:r>
          </w:p>
        </w:tc>
        <w:tc>
          <w:tcPr>
            <w:tcW w:type="dxa" w:w="3293"/>
            <w:vAlign w:val="center"/>
            <w:tcMar>
              <w:top w:w="110" w:type="dxa"/>
              <w:start w:w="110" w:type="dxa"/>
              <w:bottom w:w="110" w:type="dxa"/>
              <w:end w:w="110" w:type="dxa"/>
            </w:tcMar>
            <w:shd w:fill="F4F7F9"/>
          </w:tcPr>
          <w:p>
            <w:pPr>
              <w:spacing w:after="0"/>
            </w:pPr>
            <w:r/>
            <w:r>
              <w:rPr>
                <w:rFonts w:ascii="Aptos" w:hAnsi="Aptos"/>
                <w:b w:val="0"/>
                <w:color w:val="24313C"/>
                <w:sz w:val="16"/>
              </w:rPr>
              <w:t>Do relevant people understand, value, and want the product?</w:t>
            </w:r>
          </w:p>
        </w:tc>
        <w:tc>
          <w:tcPr>
            <w:tcW w:type="dxa" w:w="3293"/>
            <w:vAlign w:val="center"/>
            <w:tcMar>
              <w:top w:w="110" w:type="dxa"/>
              <w:start w:w="110" w:type="dxa"/>
              <w:bottom w:w="110" w:type="dxa"/>
              <w:end w:w="110" w:type="dxa"/>
            </w:tcMar>
            <w:shd w:fill="F4F7F9"/>
          </w:tcPr>
          <w:p>
            <w:pPr>
              <w:spacing w:after="0"/>
            </w:pPr>
            <w:r/>
            <w:r>
              <w:rPr>
                <w:rFonts w:ascii="Aptos" w:hAnsi="Aptos"/>
                <w:b w:val="0"/>
                <w:color w:val="24313C"/>
                <w:sz w:val="16"/>
              </w:rPr>
              <w:t>Usage, feedback, waitlist, customer/design-partner evidence</w:t>
            </w:r>
          </w:p>
        </w:tc>
      </w:tr>
      <w:tr>
        <w:tc>
          <w:tcPr>
            <w:tcW w:type="dxa" w:w="3293"/>
            <w:vAlign w:val="center"/>
            <w:tcMar>
              <w:top w:w="110" w:type="dxa"/>
              <w:start w:w="110" w:type="dxa"/>
              <w:bottom w:w="110" w:type="dxa"/>
              <w:end w:w="110" w:type="dxa"/>
            </w:tcMar>
            <w:shd w:fill="FFFFFF"/>
          </w:tcPr>
          <w:p>
            <w:pPr>
              <w:spacing w:after="0"/>
            </w:pPr>
            <w:r/>
            <w:r>
              <w:rPr>
                <w:rFonts w:ascii="Aptos" w:hAnsi="Aptos"/>
                <w:b w:val="0"/>
                <w:color w:val="24313C"/>
                <w:sz w:val="16"/>
              </w:rPr>
              <w:t>3 — Product / Documentation Completion</w:t>
            </w:r>
          </w:p>
        </w:tc>
        <w:tc>
          <w:tcPr>
            <w:tcW w:type="dxa" w:w="3293"/>
            <w:vAlign w:val="center"/>
            <w:tcMar>
              <w:top w:w="110" w:type="dxa"/>
              <w:start w:w="110" w:type="dxa"/>
              <w:bottom w:w="110" w:type="dxa"/>
              <w:end w:w="110" w:type="dxa"/>
            </w:tcMar>
            <w:shd w:fill="FFFFFF"/>
          </w:tcPr>
          <w:p>
            <w:pPr>
              <w:spacing w:after="0"/>
            </w:pPr>
            <w:r/>
            <w:r>
              <w:rPr>
                <w:rFonts w:ascii="Aptos" w:hAnsi="Aptos"/>
                <w:b w:val="0"/>
                <w:color w:val="24313C"/>
                <w:sz w:val="16"/>
              </w:rPr>
              <w:t>What must DRE become based on product gaps and external evidence?</w:t>
            </w:r>
          </w:p>
        </w:tc>
        <w:tc>
          <w:tcPr>
            <w:tcW w:type="dxa" w:w="3293"/>
            <w:vAlign w:val="center"/>
            <w:tcMar>
              <w:top w:w="110" w:type="dxa"/>
              <w:start w:w="110" w:type="dxa"/>
              <w:bottom w:w="110" w:type="dxa"/>
              <w:end w:w="110" w:type="dxa"/>
            </w:tcMar>
            <w:shd w:fill="FFFFFF"/>
          </w:tcPr>
          <w:p>
            <w:pPr>
              <w:spacing w:after="0"/>
            </w:pPr>
            <w:r/>
            <w:r>
              <w:rPr>
                <w:rFonts w:ascii="Aptos" w:hAnsi="Aptos"/>
                <w:b w:val="0"/>
                <w:color w:val="24313C"/>
                <w:sz w:val="16"/>
              </w:rPr>
              <w:t>Completed product architecture, aligned documentation, resolved priority gaps</w:t>
            </w:r>
          </w:p>
        </w:tc>
      </w:tr>
      <w:tr>
        <w:tc>
          <w:tcPr>
            <w:tcW w:type="dxa" w:w="3293"/>
            <w:vAlign w:val="center"/>
            <w:tcMar>
              <w:top w:w="110" w:type="dxa"/>
              <w:start w:w="110" w:type="dxa"/>
              <w:bottom w:w="110" w:type="dxa"/>
              <w:end w:w="110" w:type="dxa"/>
            </w:tcMar>
            <w:shd w:fill="F4F7F9"/>
          </w:tcPr>
          <w:p>
            <w:pPr>
              <w:spacing w:after="0"/>
            </w:pPr>
            <w:r/>
            <w:r>
              <w:rPr>
                <w:rFonts w:ascii="Aptos" w:hAnsi="Aptos"/>
                <w:b w:val="0"/>
                <w:color w:val="24313C"/>
                <w:sz w:val="16"/>
              </w:rPr>
              <w:t>4 — Enterprise Hardening &amp; Commercial Deployment</w:t>
            </w:r>
          </w:p>
        </w:tc>
        <w:tc>
          <w:tcPr>
            <w:tcW w:type="dxa" w:w="3293"/>
            <w:vAlign w:val="center"/>
            <w:tcMar>
              <w:top w:w="110" w:type="dxa"/>
              <w:start w:w="110" w:type="dxa"/>
              <w:bottom w:w="110" w:type="dxa"/>
              <w:end w:w="110" w:type="dxa"/>
            </w:tcMar>
            <w:shd w:fill="F4F7F9"/>
          </w:tcPr>
          <w:p>
            <w:pPr>
              <w:spacing w:after="0"/>
            </w:pPr>
            <w:r/>
            <w:r>
              <w:rPr>
                <w:rFonts w:ascii="Aptos" w:hAnsi="Aptos"/>
                <w:b w:val="0"/>
                <w:color w:val="24313C"/>
                <w:sz w:val="16"/>
              </w:rPr>
              <w:t>Can DRE operate repeatably and credibly inside a real customer environment?</w:t>
            </w:r>
          </w:p>
        </w:tc>
        <w:tc>
          <w:tcPr>
            <w:tcW w:type="dxa" w:w="3293"/>
            <w:vAlign w:val="center"/>
            <w:tcMar>
              <w:top w:w="110" w:type="dxa"/>
              <w:start w:w="110" w:type="dxa"/>
              <w:bottom w:w="110" w:type="dxa"/>
              <w:end w:w="110" w:type="dxa"/>
            </w:tcMar>
            <w:shd w:fill="F4F7F9"/>
          </w:tcPr>
          <w:p>
            <w:pPr>
              <w:spacing w:after="0"/>
            </w:pPr>
            <w:r/>
            <w:r>
              <w:rPr>
                <w:rFonts w:ascii="Aptos" w:hAnsi="Aptos"/>
                <w:b w:val="0"/>
                <w:color w:val="24313C"/>
                <w:sz w:val="16"/>
              </w:rPr>
              <w:t>Validated customer-owned Azure deployment and commercial operation</w:t>
            </w:r>
          </w:p>
        </w:tc>
      </w:tr>
    </w:tbl>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EVIDENCE PROGRESSION</w:t>
              <w:br/>
            </w:r>
            <w:r>
              <w:t>We built it. → People used it. → We learned what the product must become. → Customers can deploy and operate it.</w:t>
            </w:r>
          </w:p>
        </w:tc>
      </w:tr>
    </w:tbl>
    <w:p/>
    <w:p>
      <w:pPr>
        <w:pStyle w:val="Heading2"/>
      </w:pPr>
      <w:r>
        <w:t>16.6 Deployment Roadmap Principle</w:t>
      </w:r>
    </w:p>
    <w:p>
      <w:r>
        <w:t>The roadmap is not governed by an artificial twelve-week calendar.</w:t>
      </w:r>
    </w:p>
    <w:p>
      <w:r>
        <w:t>It is governed by evidence-backed exit conditions.</w:t>
      </w:r>
    </w:p>
    <w:p>
      <w:r>
        <w:t>DRE does not need to wait for enterprise perfection before showing a working product.</w:t>
      </w:r>
    </w:p>
    <w:p>
      <w:r>
        <w:t>It does not need to build every requested feature before collecting customer evidence.</w:t>
      </w:r>
    </w:p>
    <w:p>
      <w:r>
        <w:t>It does not need to claim production readiness before the Azure controls are implemented and tested.</w:t>
      </w:r>
    </w:p>
    <w:p>
      <w:r>
        <w:t>And it does not need to postpone customer, investor, or Microsoft activity while those systems mature.</w:t>
      </w:r>
    </w:p>
    <w:p>
      <w:r>
        <w:t>The operating sequence is:</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OPERATING SEQUENCE</w:t>
              <w:br/>
            </w:r>
            <w:r>
              <w:t>Demonstrate what exists. Put it in front of people. Learn from what happens. Complete the product around evidence. Harden the deployment. Prove the controls. Deploy commercially inside the customer’s Azure environment.</w:t>
            </w:r>
          </w:p>
        </w:tc>
      </w:tr>
    </w:tbl>
    <w:p/>
    <w:p>
      <w:r>
        <w:t>That sequence replaces the old calendar-driven plan with a roadmap tied directly to observable DRE maturity.</w:t>
      </w:r>
    </w:p>
    <w:sectPr w:rsidR="00FC693F" w:rsidRPr="0006063C" w:rsidSect="00034616">
      <w:headerReference w:type="default" r:id="rId9"/>
      <w:footerReference w:type="default" r:id="rId10"/>
      <w:pgSz w:w="12240" w:h="15840"/>
      <w:pgMar w:top="1037" w:right="1181" w:bottom="1037" w:left="1181"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ptos" w:hAnsi="Aptos"/>
        <w:b/>
        <w:color w:val="2E7D7A"/>
        <w:sz w:val="16"/>
      </w:rPr>
      <w:t>ENGINEERED LAUNCH  •  INTERNAL PLANNING</w:t>
    </w:r>
  </w:p>
  <w:p>
    <w:pPr>
      <w:jc w:val="right"/>
    </w:pPr>
    <w:r>
      <w:fldChar w:fldCharType="begin"/>
      <w:instrText>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ptos" w:hAnsi="Aptos"/>
        <w:b/>
        <w:color w:val="2E7D7A"/>
        <w:sz w:val="17"/>
      </w:rPr>
      <w:t>DRE  |  INTERNAL PRODUCT, DEPLOYMENT &amp; COMMERCIALIZATION PLAN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24313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00"/>
      <w:outlineLvl w:val="0"/>
    </w:pPr>
    <w:rPr>
      <w:rFonts w:asciiTheme="majorHAnsi" w:eastAsiaTheme="majorEastAsia" w:hAnsiTheme="majorHAnsi" w:cstheme="majorBidi" w:ascii="Aptos Display" w:hAnsi="Aptos Display"/>
      <w:b/>
      <w:bCs/>
      <w:color w:val="16324F"/>
      <w:sz w:val="40"/>
      <w:szCs w:val="28"/>
    </w:rPr>
  </w:style>
  <w:style w:type="paragraph" w:styleId="Heading2">
    <w:name w:val="heading 2"/>
    <w:basedOn w:val="Normal"/>
    <w:next w:val="Normal"/>
    <w:link w:val="Heading2Char"/>
    <w:uiPriority w:val="9"/>
    <w:unhideWhenUsed/>
    <w:qFormat/>
    <w:rsid w:val="00FC693F"/>
    <w:pPr>
      <w:keepNext/>
      <w:keepLines/>
      <w:spacing w:before="300" w:after="100"/>
      <w:outlineLvl w:val="1"/>
    </w:pPr>
    <w:rPr>
      <w:rFonts w:asciiTheme="majorHAnsi" w:eastAsiaTheme="majorEastAsia" w:hAnsiTheme="majorHAnsi" w:cstheme="majorBidi" w:ascii="Aptos Display" w:hAnsi="Aptos Display"/>
      <w:b/>
      <w:bCs/>
      <w:color w:val="1F5F8B"/>
      <w:sz w:val="28"/>
      <w:szCs w:val="26"/>
    </w:rPr>
  </w:style>
  <w:style w:type="paragraph" w:styleId="Heading3">
    <w:name w:val="heading 3"/>
    <w:basedOn w:val="Normal"/>
    <w:next w:val="Normal"/>
    <w:link w:val="Heading3Char"/>
    <w:uiPriority w:val="9"/>
    <w:unhideWhenUsed/>
    <w:qFormat/>
    <w:rsid w:val="00FC693F"/>
    <w:pPr>
      <w:keepNext/>
      <w:keepLines/>
      <w:spacing w:before="300" w:after="100"/>
      <w:outlineLvl w:val="2"/>
    </w:pPr>
    <w:rPr>
      <w:rFonts w:asciiTheme="majorHAnsi" w:eastAsiaTheme="majorEastAsia" w:hAnsiTheme="majorHAnsi" w:cstheme="majorBidi" w:ascii="Aptos Display" w:hAnsi="Aptos Display"/>
      <w:b/>
      <w:bCs/>
      <w:color w:val="2E7D7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rPr>
      <w:rFonts w:ascii="Aptos" w:hAnsi="Aptos"/>
      <w:b/>
      <w:color w:val="16324F"/>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DRE — Internal Product, Deployment &amp; Commercialization Plan</dc:title>
  <dc:subject>Part 4 — Sections 13–16</dc:subject>
  <dc:creator>Jamie Schallert</dc:creator>
  <keywords/>
  <dc:description>generated by python-docx</dc:description>
  <lastModifiedBy>Jamie Schallert</lastModifiedBy>
  <revision>1</revision>
  <dcterms:created xsi:type="dcterms:W3CDTF">2026-09-14T01:14:30.2315572Z</dcterms:created>
  <dcterms:modified xsi:type="dcterms:W3CDTF">2026-09-14T01:14:30.2315572Z</dcterms:modified>
  <category/>
</coreProperties>
</file>