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9. Website &amp; Product Documentation</w:t>
      </w:r>
    </w:p>
    <w:p>
      <w:r>
        <w:t>The DRE website and product-documentation system are intended to function as one connected body of product evidence.</w:t>
      </w:r>
    </w:p>
    <w:p>
      <w:r>
        <w:t>The website explains DRE in a form that customers, evaluators, investors, legal-operations professionals, and other stakeholders can navigate quickly. The corresponding technical and product documents provide the deeper material behind those pages.</w:t>
      </w:r>
    </w:p>
    <w:p>
      <w:r>
        <w:t>The operating model is:</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OPERATING MODEL</w:t>
              <w:br/>
            </w:r>
            <w:r>
              <w:t>Substantive product concept → source document → corresponding webpage → visual explanation → downloadable document.</w:t>
            </w:r>
          </w:p>
        </w:tc>
      </w:tr>
    </w:tbl>
    <w:p/>
    <w:p>
      <w:r>
        <w:t>The website should therefore not become a collection of marketing pages disconnected from the actual DRE architecture. Where substantive DRE documentation exists, it becomes the factual basis for the corresponding webpage. Where the website eventually requires a substantive page for which adequate documentation does not yet exist, that gap should be identified and the underlying product/documentation work completed before the page is treated as established product truth.</w:t>
      </w:r>
    </w:p>
    <w:p>
      <w:r>
        <w:t>This creates a direct relationship between what DRE is, what DRE documents, and what DRE publicly communicates.</w:t>
      </w:r>
    </w:p>
    <w:p>
      <w:pPr>
        <w:pStyle w:val="Heading2"/>
      </w:pPr>
      <w:r>
        <w:t>9.1 Website Purpose</w:t>
      </w:r>
    </w:p>
    <w:p>
      <w:r>
        <w:t>The DRE website has several simultaneous purposes:</w:t>
      </w:r>
    </w:p>
    <w:p>
      <w:pPr>
        <w:pStyle w:val="ListBullet"/>
        <w:spacing w:after="60"/>
        <w:ind w:left="360" w:hanging="230"/>
      </w:pPr>
      <w:r>
        <w:t>Explain the product</w:t>
      </w:r>
    </w:p>
    <w:p>
      <w:pPr>
        <w:pStyle w:val="ListBullet"/>
        <w:spacing w:after="60"/>
        <w:ind w:left="360" w:hanging="230"/>
      </w:pPr>
      <w:r>
        <w:t>Establish the customer problem</w:t>
      </w:r>
    </w:p>
    <w:p>
      <w:pPr>
        <w:pStyle w:val="ListBullet"/>
        <w:spacing w:after="60"/>
        <w:ind w:left="360" w:hanging="230"/>
      </w:pPr>
      <w:r>
        <w:t>Demonstrate the product</w:t>
      </w:r>
    </w:p>
    <w:p>
      <w:pPr>
        <w:pStyle w:val="ListBullet"/>
        <w:spacing w:after="60"/>
        <w:ind w:left="360" w:hanging="230"/>
      </w:pPr>
      <w:r>
        <w:t>Explain how DRE works</w:t>
      </w:r>
    </w:p>
    <w:p>
      <w:pPr>
        <w:pStyle w:val="ListBullet"/>
        <w:spacing w:after="60"/>
        <w:ind w:left="360" w:hanging="230"/>
      </w:pPr>
      <w:r>
        <w:t>Explain the Azure deployment direction</w:t>
      </w:r>
    </w:p>
    <w:p>
      <w:pPr>
        <w:pStyle w:val="ListBullet"/>
        <w:spacing w:after="60"/>
        <w:ind w:left="360" w:hanging="230"/>
      </w:pPr>
      <w:r>
        <w:t>Provide access to deeper documentation</w:t>
      </w:r>
    </w:p>
    <w:p>
      <w:pPr>
        <w:pStyle w:val="ListBullet"/>
        <w:spacing w:after="60"/>
        <w:ind w:left="360" w:hanging="230"/>
      </w:pPr>
      <w:r>
        <w:t>Collect evaluator feedback</w:t>
      </w:r>
    </w:p>
    <w:p>
      <w:pPr>
        <w:pStyle w:val="ListBullet"/>
        <w:spacing w:after="60"/>
        <w:ind w:left="360" w:hanging="230"/>
      </w:pPr>
      <w:r>
        <w:t>Capture early-access/waitlist interest</w:t>
      </w:r>
    </w:p>
    <w:p>
      <w:pPr>
        <w:pStyle w:val="ListBullet"/>
        <w:spacing w:after="60"/>
        <w:ind w:left="360" w:hanging="230"/>
      </w:pPr>
      <w:r>
        <w:t>Provide evidence for customers and investors</w:t>
      </w:r>
    </w:p>
    <w:p>
      <w:pPr>
        <w:pStyle w:val="ListBullet"/>
        <w:spacing w:after="60"/>
        <w:ind w:left="360" w:hanging="230"/>
      </w:pPr>
      <w:r>
        <w:t>Support continuing product validation</w:t>
      </w:r>
    </w:p>
    <w:p>
      <w:pPr>
        <w:pStyle w:val="Heading2"/>
      </w:pPr>
      <w:r>
        <w:t>9.2 DRE Index / Overview</w:t>
      </w:r>
    </w:p>
    <w:p>
      <w:r>
        <w:t>The DRE index is the primary entry point into the product.</w:t>
      </w:r>
    </w:p>
    <w:p>
      <w:pPr>
        <w:pStyle w:val="ListBullet"/>
        <w:spacing w:after="60"/>
        <w:ind w:left="360" w:hanging="230"/>
      </w:pPr>
      <w:r>
        <w:t>Reviews outside-counsel legal billing</w:t>
      </w:r>
    </w:p>
    <w:p>
      <w:pPr>
        <w:pStyle w:val="ListBullet"/>
        <w:spacing w:after="60"/>
        <w:ind w:left="360" w:hanging="230"/>
      </w:pPr>
      <w:r>
        <w:t>Applies deterministic controls first</w:t>
      </w:r>
    </w:p>
    <w:p>
      <w:pPr>
        <w:pStyle w:val="ListBullet"/>
        <w:spacing w:after="60"/>
        <w:ind w:left="360" w:hanging="230"/>
      </w:pPr>
      <w:r>
        <w:t>Uses consensus review where semantic interpretation is appropriate</w:t>
      </w:r>
    </w:p>
    <w:p>
      <w:pPr>
        <w:pStyle w:val="ListBullet"/>
        <w:spacing w:after="60"/>
        <w:ind w:left="360" w:hanging="230"/>
      </w:pPr>
      <w:r>
        <w:t>Isolates transactions requiring human attention</w:t>
      </w:r>
    </w:p>
    <w:p>
      <w:pPr>
        <w:pStyle w:val="ListBullet"/>
        <w:spacing w:after="60"/>
        <w:ind w:left="360" w:hanging="230"/>
      </w:pPr>
      <w:r>
        <w:t>Preserves human authority</w:t>
      </w:r>
    </w:p>
    <w:p>
      <w:pPr>
        <w:pStyle w:val="ListBullet"/>
        <w:spacing w:after="60"/>
        <w:ind w:left="360" w:hanging="230"/>
      </w:pPr>
      <w:r>
        <w:t>Is designed for deployment inside the customer’s Azure environment</w:t>
      </w:r>
    </w:p>
    <w:p>
      <w:pPr>
        <w:pStyle w:val="ListBullet"/>
        <w:spacing w:after="60"/>
        <w:ind w:left="360" w:hanging="230"/>
      </w:pPr>
      <w:r>
        <w:t>Works within the customer’s existing Microsoft ecosystem</w:t>
      </w:r>
    </w:p>
    <w:p>
      <w:pPr>
        <w:pStyle w:val="ListBullet"/>
        <w:spacing w:after="60"/>
        <w:ind w:left="360" w:hanging="230"/>
      </w:pPr>
      <w:r>
        <w:t>Does not require replacement of the customer’s broader legal technology stack</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CENTRAL PRODUCT EXPERIENCE</w:t>
              <w:br/>
            </w:r>
            <w:r>
              <w:t>One legal-billing file in. Two files out.</w:t>
            </w:r>
          </w:p>
        </w:tc>
      </w:tr>
    </w:tbl>
    <w:p/>
    <w:p>
      <w:pPr>
        <w:pStyle w:val="Heading2"/>
      </w:pPr>
      <w:r>
        <w:t>9.3 Product Messaging Hierarchy</w:t>
      </w:r>
    </w:p>
    <w:p>
      <w:r>
        <w:t>The website should translate the underlying architecture into a customer-understandable hierarchy.</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CONCEPTUAL ORDER</w:t>
              <w:br/>
            </w:r>
            <w:r>
              <w:t>Problem → simple product proposition → how DRE reviews a bill → what the customer receives → why the architecture matters → how deployment works → evidence → demonstration → continued engagement.</w:t>
            </w:r>
          </w:p>
        </w:tc>
      </w:tr>
    </w:tbl>
    <w:p/>
    <w:p>
      <w:r>
        <w:t>The website should not require the customer to understand Azure services or TypeScript classes before understanding the business problem DRE solves.</w:t>
      </w:r>
    </w:p>
    <w:p>
      <w:r>
        <w:t>Technical depth exists beneath the product proposition rather than replacing it.</w:t>
      </w:r>
    </w:p>
    <w:p>
      <w:pPr>
        <w:pStyle w:val="Heading2"/>
      </w:pPr>
      <w:r>
        <w:t>9.4 Core Product Message</w:t>
      </w:r>
    </w:p>
    <w:p>
      <w:r>
        <w:t>The website should preserve the product principles already established in the DRE plan:</w:t>
      </w:r>
    </w:p>
    <w:p>
      <w:pPr>
        <w:pStyle w:val="ListBullet"/>
        <w:spacing w:after="60"/>
        <w:ind w:left="360" w:hanging="230"/>
      </w:pPr>
      <w:r>
        <w:t>Computationally sophisticated. Operationally simple.</w:t>
      </w:r>
    </w:p>
    <w:p>
      <w:pPr>
        <w:pStyle w:val="ListBullet"/>
        <w:spacing w:after="60"/>
        <w:ind w:left="360" w:hanging="230"/>
      </w:pPr>
      <w:r>
        <w:t>Start with a bill.</w:t>
      </w:r>
    </w:p>
    <w:p>
      <w:pPr>
        <w:pStyle w:val="ListBullet"/>
        <w:spacing w:after="60"/>
        <w:ind w:left="360" w:hanging="230"/>
      </w:pPr>
      <w:r>
        <w:t>Review what needs judgment, not what already passes.</w:t>
      </w:r>
    </w:p>
    <w:p>
      <w:pPr>
        <w:pStyle w:val="ListBullet"/>
        <w:spacing w:after="60"/>
        <w:ind w:left="360" w:hanging="230"/>
      </w:pPr>
      <w:r>
        <w:t>Every decision has a reason.</w:t>
      </w:r>
    </w:p>
    <w:p>
      <w:pPr>
        <w:pStyle w:val="ListBullet"/>
        <w:spacing w:after="60"/>
        <w:ind w:left="360" w:hanging="230"/>
      </w:pPr>
      <w:r>
        <w:t>Keep the software you already have.</w:t>
      </w:r>
    </w:p>
    <w:p>
      <w:r>
        <w:t>The public-facing site should professionally express the product philosophy through the product experience: DRE performs the specialized review function without attempting to become an unnecessary replacement legal-management platform.</w:t>
      </w:r>
    </w:p>
    <w:p>
      <w:pPr>
        <w:pStyle w:val="Heading2"/>
      </w:pPr>
      <w:r>
        <w:t>9.5 Product Pages</w:t>
      </w:r>
    </w:p>
    <w:p>
      <w:r>
        <w:t>Each substantive DRE product page should have a defined purpose.</w:t>
      </w:r>
    </w:p>
    <w:p>
      <w:pPr>
        <w:pStyle w:val="ListBullet"/>
        <w:spacing w:after="60"/>
        <w:ind w:left="360" w:hanging="230"/>
      </w:pPr>
      <w:r>
        <w:t>DRE overview</w:t>
      </w:r>
    </w:p>
    <w:p>
      <w:pPr>
        <w:pStyle w:val="ListBullet"/>
        <w:spacing w:after="60"/>
        <w:ind w:left="360" w:hanging="230"/>
      </w:pPr>
      <w:r>
        <w:t>Deterministic legal-billing compliance processing</w:t>
      </w:r>
    </w:p>
    <w:p>
      <w:pPr>
        <w:pStyle w:val="ListBullet"/>
        <w:spacing w:after="60"/>
        <w:ind w:left="360" w:hanging="230"/>
      </w:pPr>
      <w:r>
        <w:t>Consensus review</w:t>
      </w:r>
    </w:p>
    <w:p>
      <w:pPr>
        <w:pStyle w:val="ListBullet"/>
        <w:spacing w:after="60"/>
        <w:ind w:left="360" w:hanging="230"/>
      </w:pPr>
      <w:r>
        <w:t>Transaction orchestration</w:t>
      </w:r>
    </w:p>
    <w:p>
      <w:pPr>
        <w:pStyle w:val="ListBullet"/>
        <w:spacing w:after="60"/>
        <w:ind w:left="360" w:hanging="230"/>
      </w:pPr>
      <w:r>
        <w:t>Azure infrastructure/deployment</w:t>
      </w:r>
    </w:p>
    <w:p>
      <w:pPr>
        <w:pStyle w:val="ListBullet"/>
        <w:spacing w:after="60"/>
        <w:ind w:left="360" w:hanging="230"/>
      </w:pPr>
      <w:r>
        <w:t>Validation and assurance</w:t>
      </w:r>
    </w:p>
    <w:p>
      <w:pPr>
        <w:pStyle w:val="ListBullet"/>
        <w:spacing w:after="60"/>
        <w:ind w:left="360" w:hanging="230"/>
      </w:pPr>
      <w:r>
        <w:t>Working demonstration</w:t>
      </w:r>
    </w:p>
    <w:p>
      <w:pPr>
        <w:pStyle w:val="Heading2"/>
      </w:pPr>
      <w:r>
        <w:t>9.6 Source-Document Relationship</w:t>
      </w:r>
    </w:p>
    <w:p>
      <w:r>
        <w:t>Where a substantive source document exists, that document should serve as the factual foundation for its corresponding webpage.</w:t>
      </w:r>
    </w:p>
    <w:p>
      <w:pPr>
        <w:pStyle w:val="ListBullet"/>
        <w:spacing w:after="60"/>
        <w:ind w:left="360" w:hanging="230"/>
      </w:pPr>
      <w:r>
        <w:t>Source document establishes the substantive material.</w:t>
      </w:r>
    </w:p>
    <w:p>
      <w:pPr>
        <w:pStyle w:val="ListBullet"/>
        <w:spacing w:after="60"/>
        <w:ind w:left="360" w:hanging="230"/>
      </w:pPr>
      <w:r>
        <w:t>Webpage makes that material navigable and understandable online.</w:t>
      </w:r>
    </w:p>
    <w:p>
      <w:pPr>
        <w:pStyle w:val="ListBullet"/>
        <w:spacing w:after="60"/>
        <w:ind w:left="360" w:hanging="230"/>
      </w:pPr>
      <w:r>
        <w:t>Responsive diagrams explain important relationships visually.</w:t>
      </w:r>
    </w:p>
    <w:p>
      <w:pPr>
        <w:pStyle w:val="ListBullet"/>
        <w:spacing w:after="60"/>
        <w:ind w:left="360" w:hanging="230"/>
      </w:pPr>
      <w:r>
        <w:t>Download allows the evaluator to retain the deeper source document.</w:t>
      </w:r>
    </w:p>
    <w:p>
      <w:r>
        <w:t>This reduces the risk that the website, technical documents, and actual product architecture begin describing three different versions of DRE.</w:t>
      </w:r>
    </w:p>
    <w:p>
      <w:pPr>
        <w:pStyle w:val="Heading2"/>
      </w:pPr>
      <w:r>
        <w:t>9.7 Corresponding Word Documents</w:t>
      </w:r>
    </w:p>
    <w:p>
      <w:r>
        <w:t>Substantive DRE webpages should travel with corresponding professional Word documents where appropriate.</w:t>
      </w:r>
    </w:p>
    <w:p>
      <w:pPr>
        <w:pStyle w:val="ListBullet"/>
        <w:spacing w:after="60"/>
        <w:ind w:left="360" w:hanging="230"/>
      </w:pPr>
      <w:r>
        <w:t>Technical review</w:t>
      </w:r>
    </w:p>
    <w:p>
      <w:pPr>
        <w:pStyle w:val="ListBullet"/>
        <w:spacing w:after="60"/>
        <w:ind w:left="360" w:hanging="230"/>
      </w:pPr>
      <w:r>
        <w:t>Customer evaluation</w:t>
      </w:r>
    </w:p>
    <w:p>
      <w:pPr>
        <w:pStyle w:val="ListBullet"/>
        <w:spacing w:after="60"/>
        <w:ind w:left="360" w:hanging="230"/>
      </w:pPr>
      <w:r>
        <w:t>Procurement review</w:t>
      </w:r>
    </w:p>
    <w:p>
      <w:pPr>
        <w:pStyle w:val="ListBullet"/>
        <w:spacing w:after="60"/>
        <w:ind w:left="360" w:hanging="230"/>
      </w:pPr>
      <w:r>
        <w:t>Security review</w:t>
      </w:r>
    </w:p>
    <w:p>
      <w:pPr>
        <w:pStyle w:val="ListBullet"/>
        <w:spacing w:after="60"/>
        <w:ind w:left="360" w:hanging="230"/>
      </w:pPr>
      <w:r>
        <w:t>Investor diligence</w:t>
      </w:r>
    </w:p>
    <w:p>
      <w:pPr>
        <w:pStyle w:val="ListBullet"/>
        <w:spacing w:after="60"/>
        <w:ind w:left="360" w:hanging="230"/>
      </w:pPr>
      <w:r>
        <w:t>Internal planning</w:t>
      </w:r>
    </w:p>
    <w:p>
      <w:pPr>
        <w:pStyle w:val="ListBullet"/>
        <w:spacing w:after="60"/>
        <w:ind w:left="360" w:hanging="230"/>
      </w:pPr>
      <w:r>
        <w:t>Architecture discussion</w:t>
      </w:r>
    </w:p>
    <w:p>
      <w:pPr>
        <w:pStyle w:val="ListBullet"/>
        <w:spacing w:after="60"/>
        <w:ind w:left="360" w:hanging="230"/>
      </w:pPr>
      <w:r>
        <w:t>Offline reading</w:t>
      </w:r>
    </w:p>
    <w:p>
      <w:pPr>
        <w:pStyle w:val="ListBullet"/>
        <w:spacing w:after="60"/>
        <w:ind w:left="360" w:hanging="230"/>
      </w:pPr>
      <w:r>
        <w:t>Printing</w:t>
      </w:r>
    </w:p>
    <w:p>
      <w:pPr>
        <w:pStyle w:val="ListBullet"/>
        <w:spacing w:after="60"/>
        <w:ind w:left="360" w:hanging="230"/>
      </w:pPr>
      <w:r>
        <w:t>Controlled revision</w:t>
      </w:r>
    </w:p>
    <w:p>
      <w:pPr>
        <w:pStyle w:val="Heading2"/>
      </w:pPr>
      <w:r>
        <w:t>9.8 Existing Documentation Base</w:t>
      </w:r>
    </w:p>
    <w:p>
      <w:r>
        <w:t>The current DRE source set already includes substantive documentation covering major portions of the product.</w:t>
      </w:r>
    </w:p>
    <w:p>
      <w:pPr>
        <w:pStyle w:val="ListBullet"/>
        <w:spacing w:after="60"/>
        <w:ind w:left="360" w:hanging="230"/>
      </w:pPr>
      <w:r>
        <w:t>Core legal OCG compliance engine</w:t>
      </w:r>
    </w:p>
    <w:p>
      <w:pPr>
        <w:pStyle w:val="ListBullet"/>
        <w:spacing w:after="60"/>
        <w:ind w:left="360" w:hanging="230"/>
      </w:pPr>
      <w:r>
        <w:t>Deterministic billing processing</w:t>
      </w:r>
    </w:p>
    <w:p>
      <w:pPr>
        <w:pStyle w:val="ListBullet"/>
        <w:spacing w:after="60"/>
        <w:ind w:left="360" w:hanging="230"/>
      </w:pPr>
      <w:r>
        <w:t>Consensus wrapper</w:t>
      </w:r>
    </w:p>
    <w:p>
      <w:pPr>
        <w:pStyle w:val="ListBullet"/>
        <w:spacing w:after="60"/>
        <w:ind w:left="360" w:hanging="230"/>
      </w:pPr>
      <w:r>
        <w:t>Transaction orchestration</w:t>
      </w:r>
    </w:p>
    <w:p>
      <w:pPr>
        <w:pStyle w:val="ListBullet"/>
        <w:spacing w:after="60"/>
        <w:ind w:left="360" w:hanging="230"/>
      </w:pPr>
      <w:r>
        <w:t>Azure infrastructure deployment</w:t>
      </w:r>
    </w:p>
    <w:p>
      <w:pPr>
        <w:pStyle w:val="ListBullet"/>
        <w:spacing w:after="60"/>
        <w:ind w:left="360" w:hanging="230"/>
      </w:pPr>
      <w:r>
        <w:t>Infrastructure validation</w:t>
      </w:r>
    </w:p>
    <w:p>
      <w:pPr>
        <w:pStyle w:val="ListBullet"/>
        <w:spacing w:after="60"/>
        <w:ind w:left="360" w:hanging="230"/>
      </w:pPr>
      <w:r>
        <w:t>Offline demonstration</w:t>
      </w:r>
    </w:p>
    <w:p>
      <w:pPr>
        <w:pStyle w:val="ListBullet"/>
        <w:spacing w:after="60"/>
        <w:ind w:left="360" w:hanging="230"/>
      </w:pPr>
      <w:r>
        <w:t>Investor/product architecture</w:t>
      </w:r>
    </w:p>
    <w:p>
      <w:pPr>
        <w:pStyle w:val="ListBullet"/>
        <w:spacing w:after="60"/>
        <w:ind w:left="360" w:hanging="230"/>
      </w:pPr>
      <w:r>
        <w:t>Market-entry and customer-pain direction</w:t>
      </w:r>
    </w:p>
    <w:p>
      <w:pPr>
        <w:pStyle w:val="Heading2"/>
      </w:pPr>
      <w:r>
        <w:t>9.9 Responsive Technical Diagrams</w:t>
      </w:r>
    </w:p>
    <w:p>
      <w:r>
        <w:t>DRE’s architecture contains relationships that are easier to understand visually than through prose alone.</w:t>
      </w:r>
    </w:p>
    <w:p>
      <w:pPr>
        <w:pStyle w:val="ListBullet"/>
        <w:spacing w:after="60"/>
        <w:ind w:left="360" w:hanging="230"/>
      </w:pPr>
      <w:r>
        <w:t>Billing Compliance Engine</w:t>
      </w:r>
    </w:p>
    <w:p>
      <w:pPr>
        <w:pStyle w:val="ListBullet"/>
        <w:spacing w:after="60"/>
        <w:ind w:left="360" w:hanging="230"/>
      </w:pPr>
      <w:r>
        <w:t>Legal Billing Consensus Pipeline</w:t>
      </w:r>
    </w:p>
    <w:p>
      <w:pPr>
        <w:pStyle w:val="ListBullet"/>
        <w:spacing w:after="60"/>
        <w:ind w:left="360" w:hanging="230"/>
      </w:pPr>
      <w:r>
        <w:t>Azure AI Consensus Wrapper</w:t>
      </w:r>
    </w:p>
    <w:p>
      <w:pPr>
        <w:pStyle w:val="ListBullet"/>
        <w:spacing w:after="60"/>
        <w:ind w:left="360" w:hanging="230"/>
      </w:pPr>
      <w:r>
        <w:t>Transaction Orchestration Pipeline</w:t>
      </w:r>
    </w:p>
    <w:p>
      <w:pPr>
        <w:pStyle w:val="ListBullet"/>
        <w:spacing w:after="60"/>
        <w:ind w:left="360" w:hanging="230"/>
      </w:pPr>
      <w:r>
        <w:t>Azure Infrastructure Deployment</w:t>
      </w:r>
    </w:p>
    <w:p>
      <w:pPr>
        <w:pStyle w:val="ListBullet"/>
        <w:spacing w:after="60"/>
        <w:ind w:left="360" w:hanging="230"/>
      </w:pPr>
      <w:r>
        <w:t>Enterprise Revenue Firewall Demo</w:t>
      </w:r>
    </w:p>
    <w:p>
      <w:pPr>
        <w:pStyle w:val="Heading2"/>
      </w:pPr>
      <w:r>
        <w:t>9.10 Diagram Purpose</w:t>
      </w:r>
    </w:p>
    <w:p>
      <w:r>
        <w:t>Technical diagrams should answer a specific question.</w:t>
      </w:r>
    </w:p>
    <w:p>
      <w:pPr>
        <w:pStyle w:val="ListBullet"/>
        <w:spacing w:after="60"/>
        <w:ind w:left="360" w:hanging="230"/>
      </w:pPr>
      <w:r>
        <w:t>Where does a transaction go?</w:t>
      </w:r>
    </w:p>
    <w:p>
      <w:pPr>
        <w:pStyle w:val="ListBullet"/>
        <w:spacing w:after="60"/>
        <w:ind w:left="360" w:hanging="230"/>
      </w:pPr>
      <w:r>
        <w:t>When does AI become involved?</w:t>
      </w:r>
    </w:p>
    <w:p>
      <w:pPr>
        <w:pStyle w:val="ListBullet"/>
        <w:spacing w:after="60"/>
        <w:ind w:left="360" w:hanging="230"/>
      </w:pPr>
      <w:r>
        <w:t>What happens when deterministic review is sufficient?</w:t>
      </w:r>
    </w:p>
    <w:p>
      <w:pPr>
        <w:pStyle w:val="ListBullet"/>
        <w:spacing w:after="60"/>
        <w:ind w:left="360" w:hanging="230"/>
      </w:pPr>
      <w:r>
        <w:t>What do the three agents do?</w:t>
      </w:r>
    </w:p>
    <w:p>
      <w:pPr>
        <w:pStyle w:val="ListBullet"/>
        <w:spacing w:after="60"/>
        <w:ind w:left="360" w:hanging="230"/>
      </w:pPr>
      <w:r>
        <w:t>How does the deterministic referee work?</w:t>
      </w:r>
    </w:p>
    <w:p>
      <w:pPr>
        <w:pStyle w:val="ListBullet"/>
        <w:spacing w:after="60"/>
        <w:ind w:left="360" w:hanging="230"/>
      </w:pPr>
      <w:r>
        <w:t>What exists in the current Azure foundation?</w:t>
      </w:r>
    </w:p>
    <w:p>
      <w:pPr>
        <w:pStyle w:val="ListBullet"/>
        <w:spacing w:after="60"/>
        <w:ind w:left="360" w:hanging="230"/>
      </w:pPr>
      <w:r>
        <w:t>What remains in the intended architecture?</w:t>
      </w:r>
    </w:p>
    <w:p>
      <w:pPr>
        <w:pStyle w:val="Heading2"/>
      </w:pPr>
      <w:r>
        <w:t>9.11 Mobile Documentation Experience</w:t>
      </w:r>
    </w:p>
    <w:p>
      <w:r>
        <w:t>The DRE documentation system must remain usable on a phone.</w:t>
      </w:r>
    </w:p>
    <w:p>
      <w:pPr>
        <w:pStyle w:val="ListBullet"/>
        <w:spacing w:after="60"/>
        <w:ind w:left="360" w:hanging="230"/>
      </w:pPr>
      <w:r>
        <w:t>Email</w:t>
      </w:r>
    </w:p>
    <w:p>
      <w:pPr>
        <w:pStyle w:val="ListBullet"/>
        <w:spacing w:after="60"/>
        <w:ind w:left="360" w:hanging="230"/>
      </w:pPr>
      <w:r>
        <w:t>LinkedIn</w:t>
      </w:r>
    </w:p>
    <w:p>
      <w:pPr>
        <w:pStyle w:val="ListBullet"/>
        <w:spacing w:after="60"/>
        <w:ind w:left="360" w:hanging="230"/>
      </w:pPr>
      <w:r>
        <w:t>Reddit</w:t>
      </w:r>
    </w:p>
    <w:p>
      <w:pPr>
        <w:pStyle w:val="ListBullet"/>
        <w:spacing w:after="60"/>
        <w:ind w:left="360" w:hanging="230"/>
      </w:pPr>
      <w:r>
        <w:t>Investor introductions</w:t>
      </w:r>
    </w:p>
    <w:p>
      <w:pPr>
        <w:pStyle w:val="ListBullet"/>
        <w:spacing w:after="60"/>
        <w:ind w:left="360" w:hanging="230"/>
      </w:pPr>
      <w:r>
        <w:t>Microsoft-related outreach</w:t>
      </w:r>
    </w:p>
    <w:p>
      <w:pPr>
        <w:pStyle w:val="ListBullet"/>
        <w:spacing w:after="60"/>
        <w:ind w:left="360" w:hanging="230"/>
      </w:pPr>
      <w:r>
        <w:t>Mobile search</w:t>
      </w:r>
    </w:p>
    <w:p>
      <w:pPr>
        <w:pStyle w:val="ListBullet"/>
        <w:spacing w:after="60"/>
        <w:ind w:left="360" w:hanging="230"/>
      </w:pPr>
      <w:r>
        <w:t>Shared links</w:t>
      </w:r>
    </w:p>
    <w:p>
      <w:pPr>
        <w:pStyle w:val="Heading2"/>
      </w:pPr>
      <w:r>
        <w:t>9.12 Editable and Maintainable Visuals</w:t>
      </w:r>
    </w:p>
    <w:p>
      <w:r>
        <w:t>Where practical, diagrams should remain maintainable as the architecture changes.</w:t>
      </w:r>
    </w:p>
    <w:p>
      <w:pPr>
        <w:pStyle w:val="Heading2"/>
      </w:pPr>
      <w:r>
        <w:t>9.13 Downloadable Documentation</w:t>
      </w:r>
    </w:p>
    <w:p>
      <w:r>
        <w:t>Relevant product pages should provide direct access to their corresponding deeper documentation.</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DOCUMENTATION PATH</w:t>
              <w:br/>
            </w:r>
            <w:r>
              <w:t>Read the page → understand the concept → inspect the diagram → download the detailed document.</w:t>
            </w:r>
          </w:p>
        </w:tc>
      </w:tr>
    </w:tbl>
    <w:p/>
    <w:p>
      <w:pPr>
        <w:pStyle w:val="Heading2"/>
      </w:pPr>
      <w:r>
        <w:t>9.14 Print Capability</w:t>
      </w:r>
    </w:p>
    <w:p>
      <w:r>
        <w:t>DRE documentation should remain useful when printed or converted into portable review material.</w:t>
      </w:r>
    </w:p>
    <w:p>
      <w:pPr>
        <w:pStyle w:val="ListBullet"/>
        <w:spacing w:after="60"/>
        <w:ind w:left="360" w:hanging="230"/>
      </w:pPr>
      <w:r>
        <w:t>Heading hierarchy</w:t>
      </w:r>
    </w:p>
    <w:p>
      <w:pPr>
        <w:pStyle w:val="ListBullet"/>
        <w:spacing w:after="60"/>
        <w:ind w:left="360" w:hanging="230"/>
      </w:pPr>
      <w:r>
        <w:t>Tables</w:t>
      </w:r>
    </w:p>
    <w:p>
      <w:pPr>
        <w:pStyle w:val="ListBullet"/>
        <w:spacing w:after="60"/>
        <w:ind w:left="360" w:hanging="230"/>
      </w:pPr>
      <w:r>
        <w:t>Diagrams</w:t>
      </w:r>
    </w:p>
    <w:p>
      <w:pPr>
        <w:pStyle w:val="ListBullet"/>
        <w:spacing w:after="60"/>
        <w:ind w:left="360" w:hanging="230"/>
      </w:pPr>
      <w:r>
        <w:t>Captions</w:t>
      </w:r>
    </w:p>
    <w:p>
      <w:pPr>
        <w:pStyle w:val="ListBullet"/>
        <w:spacing w:after="60"/>
        <w:ind w:left="360" w:hanging="230"/>
      </w:pPr>
      <w:r>
        <w:t>Page breaks</w:t>
      </w:r>
    </w:p>
    <w:p>
      <w:pPr>
        <w:pStyle w:val="ListBullet"/>
        <w:spacing w:after="60"/>
        <w:ind w:left="360" w:hanging="230"/>
      </w:pPr>
      <w:r>
        <w:t>Source/document identity</w:t>
      </w:r>
    </w:p>
    <w:p>
      <w:pPr>
        <w:pStyle w:val="ListBullet"/>
        <w:spacing w:after="60"/>
        <w:ind w:left="360" w:hanging="230"/>
      </w:pPr>
      <w:r>
        <w:t>Readable typography</w:t>
      </w:r>
    </w:p>
    <w:p>
      <w:pPr>
        <w:pStyle w:val="ListBullet"/>
        <w:spacing w:after="60"/>
        <w:ind w:left="360" w:hanging="230"/>
      </w:pPr>
      <w:r>
        <w:t>Logical content order</w:t>
      </w:r>
    </w:p>
    <w:p>
      <w:pPr>
        <w:pStyle w:val="Heading2"/>
      </w:pPr>
      <w:r>
        <w:t>9.15 Current vs. Intended Architecture on the Website</w:t>
      </w:r>
    </w:p>
    <w:p>
      <w:r>
        <w:t>The website must preserve the same evidence discipline as the internal plan.</w:t>
      </w:r>
    </w:p>
    <w:tbl>
      <w:tblPr>
        <w:tblStyle w:val="TableGrid"/>
        <w:tblW w:type="auto" w:w="0"/>
        <w:jc w:val="center"/>
        <w:tblLook w:firstColumn="1" w:firstRow="1" w:lastColumn="0" w:lastRow="0" w:noHBand="0" w:noVBand="1" w:val="04A0"/>
      </w:tblPr>
      <w:tblGrid>
        <w:gridCol w:w="4939"/>
        <w:gridCol w:w="4939"/>
      </w:tblGrid>
      <w:tr>
        <w:tc>
          <w:tcPr>
            <w:tcW w:type="dxa" w:w="4939"/>
            <w:vAlign w:val="center"/>
            <w:tcMar>
              <w:top w:w="110" w:type="dxa"/>
              <w:start w:w="110" w:type="dxa"/>
              <w:bottom w:w="110" w:type="dxa"/>
              <w:end w:w="110" w:type="dxa"/>
            </w:tcMar>
            <w:shd w:fill="16324F"/>
          </w:tcPr>
          <w:p>
            <w:pPr>
              <w:spacing w:after="0"/>
            </w:pPr>
            <w:r/>
            <w:r>
              <w:rPr>
                <w:rFonts w:ascii="Aptos" w:hAnsi="Aptos"/>
                <w:b/>
                <w:color w:val="FFFFFF"/>
                <w:sz w:val="16"/>
              </w:rPr>
              <w:t>CURRENT</w:t>
            </w:r>
          </w:p>
        </w:tc>
        <w:tc>
          <w:tcPr>
            <w:tcW w:type="dxa" w:w="4939"/>
            <w:vAlign w:val="center"/>
            <w:tcMar>
              <w:top w:w="110" w:type="dxa"/>
              <w:start w:w="110" w:type="dxa"/>
              <w:bottom w:w="110" w:type="dxa"/>
              <w:end w:w="110" w:type="dxa"/>
            </w:tcMar>
            <w:shd w:fill="16324F"/>
          </w:tcPr>
          <w:p>
            <w:pPr>
              <w:spacing w:after="0"/>
            </w:pPr>
            <w:r/>
            <w:r>
              <w:rPr>
                <w:rFonts w:ascii="Aptos" w:hAnsi="Aptos"/>
                <w:b/>
                <w:color w:val="FFFFFF"/>
                <w:sz w:val="16"/>
              </w:rPr>
              <w:t>INTENDED</w:t>
            </w:r>
          </w:p>
        </w:tc>
      </w:tr>
      <w:tr>
        <w:tc>
          <w:tcPr>
            <w:tcW w:type="dxa" w:w="4939"/>
            <w:vAlign w:val="center"/>
            <w:tcMar>
              <w:top w:w="110" w:type="dxa"/>
              <w:start w:w="110" w:type="dxa"/>
              <w:bottom w:w="110" w:type="dxa"/>
              <w:end w:w="110" w:type="dxa"/>
            </w:tcMar>
            <w:shd w:fill="FFFFFF"/>
          </w:tcPr>
          <w:p>
            <w:pPr>
              <w:spacing w:after="0"/>
            </w:pPr>
            <w:r/>
            <w:r>
              <w:rPr>
                <w:rFonts w:ascii="Aptos" w:hAnsi="Aptos"/>
                <w:b w:val="0"/>
                <w:color w:val="24313C"/>
                <w:sz w:val="17"/>
              </w:rPr>
              <w:t>One parallel round of three differentiated agents.</w:t>
            </w:r>
          </w:p>
        </w:tc>
        <w:tc>
          <w:tcPr>
            <w:tcW w:type="dxa" w:w="4939"/>
            <w:vAlign w:val="center"/>
            <w:tcMar>
              <w:top w:w="110" w:type="dxa"/>
              <w:start w:w="110" w:type="dxa"/>
              <w:bottom w:w="110" w:type="dxa"/>
              <w:end w:w="110" w:type="dxa"/>
            </w:tcMar>
            <w:shd w:fill="FFFFFF"/>
          </w:tcPr>
          <w:p>
            <w:pPr>
              <w:spacing w:after="0"/>
            </w:pPr>
            <w:r/>
            <w:r>
              <w:rPr>
                <w:rFonts w:ascii="Aptos" w:hAnsi="Aptos"/>
                <w:b w:val="0"/>
                <w:color w:val="24313C"/>
                <w:sz w:val="17"/>
              </w:rPr>
              <w:t>Three independent agents operating across multiple rounds with referee synthesis.</w:t>
            </w:r>
          </w:p>
        </w:tc>
      </w:tr>
      <w:tr>
        <w:tc>
          <w:tcPr>
            <w:tcW w:type="dxa" w:w="4939"/>
            <w:vAlign w:val="center"/>
            <w:tcMar>
              <w:top w:w="110" w:type="dxa"/>
              <w:start w:w="110" w:type="dxa"/>
              <w:bottom w:w="110" w:type="dxa"/>
              <w:end w:w="110" w:type="dxa"/>
            </w:tcMar>
            <w:shd w:fill="F4F7F9"/>
          </w:tcPr>
          <w:p>
            <w:pPr>
              <w:spacing w:after="0"/>
            </w:pPr>
            <w:r/>
            <w:r>
              <w:rPr>
                <w:rFonts w:ascii="Aptos" w:hAnsi="Aptos"/>
                <w:b w:val="0"/>
                <w:color w:val="24313C"/>
                <w:sz w:val="17"/>
              </w:rPr>
              <w:t>VNet, subnet, Key Vault, Cosmos DB account, Azure OpenAI account with public access disabled.</w:t>
            </w:r>
          </w:p>
        </w:tc>
        <w:tc>
          <w:tcPr>
            <w:tcW w:type="dxa" w:w="4939"/>
            <w:vAlign w:val="center"/>
            <w:tcMar>
              <w:top w:w="110" w:type="dxa"/>
              <w:start w:w="110" w:type="dxa"/>
              <w:bottom w:w="110" w:type="dxa"/>
              <w:end w:w="110" w:type="dxa"/>
            </w:tcMar>
            <w:shd w:fill="F4F7F9"/>
          </w:tcPr>
          <w:p>
            <w:pPr>
              <w:spacing w:after="0"/>
            </w:pPr>
            <w:r/>
            <w:r>
              <w:rPr>
                <w:rFonts w:ascii="Aptos" w:hAnsi="Aptos"/>
                <w:b w:val="0"/>
                <w:color w:val="24313C"/>
                <w:sz w:val="17"/>
              </w:rPr>
              <w:t>Private endpoints, DNS, identities, RBAC, application runtime, data containers, model deployment, monitoring, retention, recovery, and assurance controls.</w:t>
            </w:r>
          </w:p>
        </w:tc>
      </w:tr>
    </w:tbl>
    <w:p/>
    <w:p>
      <w:r>
        <w:t>This distinction strengthens the documentation because an evaluator can see both what exists and where the architecture is going.</w:t>
      </w:r>
    </w:p>
    <w:p>
      <w:pPr>
        <w:pStyle w:val="Heading2"/>
      </w:pPr>
      <w:r>
        <w:t>9.16 Working Demo Integration</w:t>
      </w:r>
    </w:p>
    <w:p>
      <w:r>
        <w:t>The demonstration should be part of the website rather than an isolated technical artifact requiring special access or explanation.</w:t>
      </w:r>
    </w:p>
    <w:p>
      <w:pPr>
        <w:pStyle w:val="ListBullet"/>
        <w:spacing w:after="60"/>
        <w:ind w:left="360" w:hanging="230"/>
      </w:pPr>
      <w:r>
        <w:t>Supplied synthetic sample</w:t>
      </w:r>
    </w:p>
    <w:p>
      <w:pPr>
        <w:pStyle w:val="ListBullet"/>
        <w:spacing w:after="60"/>
        <w:ind w:left="360" w:hanging="230"/>
      </w:pPr>
      <w:r>
        <w:t>Drag/select interaction</w:t>
      </w:r>
    </w:p>
    <w:p>
      <w:pPr>
        <w:pStyle w:val="ListBullet"/>
        <w:spacing w:after="60"/>
        <w:ind w:left="360" w:hanging="230"/>
      </w:pPr>
      <w:r>
        <w:t>Processing action</w:t>
      </w:r>
    </w:p>
    <w:p>
      <w:pPr>
        <w:pStyle w:val="ListBullet"/>
        <w:spacing w:after="60"/>
        <w:ind w:left="360" w:hanging="230"/>
      </w:pPr>
      <w:r>
        <w:t>Results</w:t>
      </w:r>
    </w:p>
    <w:p>
      <w:pPr>
        <w:pStyle w:val="ListBullet"/>
        <w:spacing w:after="60"/>
        <w:ind w:left="360" w:hanging="230"/>
      </w:pPr>
      <w:r>
        <w:t>Processing counts</w:t>
      </w:r>
    </w:p>
    <w:p>
      <w:pPr>
        <w:pStyle w:val="ListBullet"/>
        <w:spacing w:after="60"/>
        <w:ind w:left="360" w:hanging="230"/>
      </w:pPr>
      <w:r>
        <w:t>Passed Consensus output</w:t>
      </w:r>
    </w:p>
    <w:p>
      <w:pPr>
        <w:pStyle w:val="ListBullet"/>
        <w:spacing w:after="60"/>
        <w:ind w:left="360" w:hanging="230"/>
      </w:pPr>
      <w:r>
        <w:t>Human Review output</w:t>
      </w:r>
    </w:p>
    <w:p>
      <w:pPr>
        <w:pStyle w:val="ListBullet"/>
        <w:spacing w:after="60"/>
        <w:ind w:left="360" w:hanging="230"/>
      </w:pPr>
      <w:r>
        <w:t>Download capability</w:t>
      </w:r>
    </w:p>
    <w:p>
      <w:pPr>
        <w:pStyle w:val="ListBullet"/>
        <w:spacing w:after="60"/>
        <w:ind w:left="360" w:hanging="230"/>
      </w:pPr>
      <w:r>
        <w:t>Clear demo-data boundary</w:t>
      </w:r>
    </w:p>
    <w:p>
      <w:pPr>
        <w:pStyle w:val="ListBullet"/>
        <w:spacing w:after="60"/>
        <w:ind w:left="360" w:hanging="230"/>
      </w:pPr>
      <w:r>
        <w:t>Feedback path</w:t>
      </w:r>
    </w:p>
    <w:p>
      <w:pPr>
        <w:pStyle w:val="ListBullet"/>
        <w:spacing w:after="60"/>
        <w:ind w:left="360" w:hanging="230"/>
      </w:pPr>
      <w:r>
        <w:t>Early-access/waitlist path</w:t>
      </w:r>
    </w:p>
    <w:p>
      <w:pPr>
        <w:pStyle w:val="Heading2"/>
      </w:pPr>
      <w:r>
        <w:t>9.17 Evidence Before Expansion</w:t>
      </w:r>
    </w:p>
    <w:p>
      <w:r>
        <w:t>The site should be built outward from established product evidence.</w:t>
      </w:r>
    </w:p>
    <w:p>
      <w:pPr>
        <w:pStyle w:val="Heading2"/>
      </w:pPr>
      <w:r>
        <w:t>9.18 Missing-Document Identification</w:t>
      </w:r>
    </w:p>
    <w:p>
      <w:r>
        <w:t>As the website develops, some product concepts will expose missing documentation.</w:t>
      </w:r>
    </w:p>
    <w:p>
      <w:pPr>
        <w:pStyle w:val="ListBullet"/>
        <w:spacing w:after="60"/>
        <w:ind w:left="360" w:hanging="230"/>
      </w:pPr>
      <w:r>
        <w:t>Is this concept important enough to require a substantive page?</w:t>
      </w:r>
    </w:p>
    <w:p>
      <w:pPr>
        <w:pStyle w:val="ListBullet"/>
        <w:spacing w:after="60"/>
        <w:ind w:left="360" w:hanging="230"/>
      </w:pPr>
      <w:r>
        <w:t>Is there already a current source document?</w:t>
      </w:r>
    </w:p>
    <w:p>
      <w:pPr>
        <w:pStyle w:val="ListBullet"/>
        <w:spacing w:after="60"/>
        <w:ind w:left="360" w:hanging="230"/>
      </w:pPr>
      <w:r>
        <w:t>Does the existing document accurately describe the current DRE direction?</w:t>
      </w:r>
    </w:p>
    <w:p>
      <w:pPr>
        <w:pStyle w:val="ListBullet"/>
        <w:spacing w:after="60"/>
        <w:ind w:left="360" w:hanging="230"/>
      </w:pPr>
      <w:r>
        <w:t>Is the document outdated?</w:t>
      </w:r>
    </w:p>
    <w:p>
      <w:pPr>
        <w:pStyle w:val="ListBullet"/>
        <w:spacing w:after="60"/>
        <w:ind w:left="360" w:hanging="230"/>
      </w:pPr>
      <w:r>
        <w:t>Does it mix obsolete product scope with current legal-only scope?</w:t>
      </w:r>
    </w:p>
    <w:p>
      <w:pPr>
        <w:pStyle w:val="ListBullet"/>
        <w:spacing w:after="60"/>
        <w:ind w:left="360" w:hanging="230"/>
      </w:pPr>
      <w:r>
        <w:t>Does it distinguish current and intended architecture?</w:t>
      </w:r>
    </w:p>
    <w:p>
      <w:pPr>
        <w:pStyle w:val="ListBullet"/>
        <w:spacing w:after="60"/>
        <w:ind w:left="360" w:hanging="230"/>
      </w:pPr>
      <w:r>
        <w:t>Does a new document need to be created before the page is completed?</w:t>
      </w:r>
    </w:p>
    <w:p>
      <w:pPr>
        <w:pStyle w:val="Heading2"/>
      </w:pPr>
      <w:r>
        <w:t>9.19 Missing-Page Identification</w:t>
      </w:r>
    </w:p>
    <w:p>
      <w:r>
        <w:t>The inverse review is also necessary.</w:t>
      </w:r>
    </w:p>
    <w:p>
      <w:pPr>
        <w:pStyle w:val="ListBullet"/>
        <w:spacing w:after="60"/>
        <w:ind w:left="360" w:hanging="230"/>
      </w:pPr>
      <w:r>
        <w:t>What substantive product documents exist?</w:t>
      </w:r>
    </w:p>
    <w:p>
      <w:pPr>
        <w:pStyle w:val="ListBullet"/>
        <w:spacing w:after="60"/>
        <w:ind w:left="360" w:hanging="230"/>
      </w:pPr>
      <w:r>
        <w:t>Which have corresponding webpages?</w:t>
      </w:r>
    </w:p>
    <w:p>
      <w:pPr>
        <w:pStyle w:val="ListBullet"/>
        <w:spacing w:after="60"/>
        <w:ind w:left="360" w:hanging="230"/>
      </w:pPr>
      <w:r>
        <w:t>Which are buried inside another page?</w:t>
      </w:r>
    </w:p>
    <w:p>
      <w:pPr>
        <w:pStyle w:val="ListBullet"/>
        <w:spacing w:after="60"/>
        <w:ind w:left="360" w:hanging="230"/>
      </w:pPr>
      <w:r>
        <w:t>Which deserve dedicated explanation?</w:t>
      </w:r>
    </w:p>
    <w:p>
      <w:pPr>
        <w:pStyle w:val="ListBullet"/>
        <w:spacing w:after="60"/>
        <w:ind w:left="360" w:hanging="230"/>
      </w:pPr>
      <w:r>
        <w:t>Which are obsolete and should not become pages?</w:t>
      </w:r>
    </w:p>
    <w:p>
      <w:pPr>
        <w:pStyle w:val="ListBullet"/>
        <w:spacing w:after="60"/>
        <w:ind w:left="360" w:hanging="230"/>
      </w:pPr>
      <w:r>
        <w:t>Which are internal-only?</w:t>
      </w:r>
    </w:p>
    <w:p>
      <w:pPr>
        <w:pStyle w:val="ListBullet"/>
        <w:spacing w:after="60"/>
        <w:ind w:left="360" w:hanging="230"/>
      </w:pPr>
      <w:r>
        <w:t>Which should become downloadable supporting material rather than standalone pages?</w:t>
      </w:r>
    </w:p>
    <w:p>
      <w:pPr>
        <w:pStyle w:val="Heading2"/>
      </w:pPr>
      <w:r>
        <w:t>9.20 Product/Document Pairing Workflow</w:t>
      </w:r>
    </w:p>
    <w:p>
      <w:r>
        <w:t>The intended workflow for substantive DRE documentation is:</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PAIRING WORKFLOW</w:t>
              <w:br/>
            </w:r>
            <w:r>
              <w:t>Product concept established → substantive document created or updated → document reviewed → corresponding webpage created → responsive visual incorporated where useful → document attached for download → page and document maintained together.</w:t>
            </w:r>
          </w:p>
        </w:tc>
      </w:tr>
    </w:tbl>
    <w:p/>
    <w:p>
      <w:r>
        <w:t>For missing concepts discovered during website development:</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GAP WORKFLOW</w:t>
              <w:br/>
            </w:r>
            <w:r>
              <w:t>Gap identified → underlying product question resolved → document created → webpage created.</w:t>
            </w:r>
          </w:p>
        </w:tc>
      </w:tr>
    </w:tbl>
    <w:p/>
    <w:p>
      <w:r>
        <w:t>This prevents website speed from becoming a reason to invent architecture.</w:t>
      </w:r>
    </w:p>
    <w:p>
      <w:pPr>
        <w:pStyle w:val="Heading2"/>
      </w:pPr>
      <w:r>
        <w:t>9.21 Documentation Version Discipline</w:t>
      </w:r>
    </w:p>
    <w:p>
      <w:r>
        <w:t>DRE is evolving quickly.</w:t>
      </w:r>
    </w:p>
    <w:p>
      <w:pPr>
        <w:pStyle w:val="ListBullet"/>
        <w:spacing w:after="60"/>
        <w:ind w:left="360" w:hanging="230"/>
      </w:pPr>
      <w:r>
        <w:t>Legal-only product scope</w:t>
      </w:r>
    </w:p>
    <w:p>
      <w:pPr>
        <w:pStyle w:val="ListBullet"/>
        <w:spacing w:after="60"/>
        <w:ind w:left="360" w:hanging="230"/>
      </w:pPr>
      <w:r>
        <w:t>Current consensus implementation</w:t>
      </w:r>
    </w:p>
    <w:p>
      <w:pPr>
        <w:pStyle w:val="ListBullet"/>
        <w:spacing w:after="60"/>
        <w:ind w:left="360" w:hanging="230"/>
      </w:pPr>
      <w:r>
        <w:t>Intended multi-round consensus</w:t>
      </w:r>
    </w:p>
    <w:p>
      <w:pPr>
        <w:pStyle w:val="ListBullet"/>
        <w:spacing w:after="60"/>
        <w:ind w:left="360" w:hanging="230"/>
      </w:pPr>
      <w:r>
        <w:t>Simplified one-file/two-file customer experience</w:t>
      </w:r>
    </w:p>
    <w:p>
      <w:pPr>
        <w:pStyle w:val="ListBullet"/>
        <w:spacing w:after="60"/>
        <w:ind w:left="360" w:hanging="230"/>
      </w:pPr>
      <w:r>
        <w:t>Azure deployment maturity</w:t>
      </w:r>
    </w:p>
    <w:p>
      <w:pPr>
        <w:pStyle w:val="ListBullet"/>
        <w:spacing w:after="60"/>
        <w:ind w:left="360" w:hanging="230"/>
      </w:pPr>
      <w:r>
        <w:t>Security-control implementation</w:t>
      </w:r>
    </w:p>
    <w:p>
      <w:pPr>
        <w:pStyle w:val="ListBullet"/>
        <w:spacing w:after="60"/>
        <w:ind w:left="360" w:hanging="230"/>
      </w:pPr>
      <w:r>
        <w:t>Demo capability</w:t>
      </w:r>
    </w:p>
    <w:p>
      <w:pPr>
        <w:pStyle w:val="ListBullet"/>
        <w:spacing w:after="60"/>
        <w:ind w:left="360" w:hanging="230"/>
      </w:pPr>
      <w:r>
        <w:t>Human-review behavior</w:t>
      </w:r>
    </w:p>
    <w:p>
      <w:pPr>
        <w:pStyle w:val="ListBullet"/>
        <w:spacing w:after="60"/>
        <w:ind w:left="360" w:hanging="230"/>
      </w:pPr>
      <w:r>
        <w:t>Financial terminology</w:t>
      </w:r>
    </w:p>
    <w:p>
      <w:pPr>
        <w:pStyle w:val="Heading2"/>
      </w:pPr>
      <w:r>
        <w:t>9.22 Documentation as Internal Control</w:t>
      </w:r>
    </w:p>
    <w:p>
      <w:r>
        <w:t>The documentation system is useful internally as well as externally.</w:t>
      </w:r>
    </w:p>
    <w:p>
      <w:pPr>
        <w:pStyle w:val="Heading2"/>
      </w:pPr>
      <w:r>
        <w:t>9.23 Documentation as Customer Evidence</w:t>
      </w:r>
    </w:p>
    <w:p>
      <w:r>
        <w:t>For a customer evaluator, the combined documentation system can answer progressively deeper questions:</w:t>
      </w:r>
    </w:p>
    <w:tbl>
      <w:tblPr>
        <w:tblStyle w:val="TableGrid"/>
        <w:tblW w:type="auto" w:w="0"/>
        <w:jc w:val="center"/>
        <w:tblLook w:firstColumn="1" w:firstRow="1" w:lastColumn="0" w:lastRow="0" w:noHBand="0" w:noVBand="1" w:val="04A0"/>
      </w:tblPr>
      <w:tblGrid>
        <w:gridCol w:w="4939"/>
        <w:gridCol w:w="4939"/>
      </w:tblGrid>
      <w:tr>
        <w:tc>
          <w:tcPr>
            <w:tcW w:type="dxa" w:w="4939"/>
            <w:vAlign w:val="center"/>
            <w:tcMar>
              <w:top w:w="110" w:type="dxa"/>
              <w:start w:w="110" w:type="dxa"/>
              <w:bottom w:w="110" w:type="dxa"/>
              <w:end w:w="110" w:type="dxa"/>
            </w:tcMar>
            <w:shd w:fill="16324F"/>
          </w:tcPr>
          <w:p>
            <w:pPr>
              <w:spacing w:after="0"/>
            </w:pPr>
            <w:r/>
            <w:r>
              <w:rPr>
                <w:rFonts w:ascii="Aptos" w:hAnsi="Aptos"/>
                <w:b/>
                <w:color w:val="FFFFFF"/>
                <w:sz w:val="16"/>
              </w:rPr>
              <w:t>QUESTION</w:t>
            </w:r>
          </w:p>
        </w:tc>
        <w:tc>
          <w:tcPr>
            <w:tcW w:type="dxa" w:w="4939"/>
            <w:vAlign w:val="center"/>
            <w:tcMar>
              <w:top w:w="110" w:type="dxa"/>
              <w:start w:w="110" w:type="dxa"/>
              <w:bottom w:w="110" w:type="dxa"/>
              <w:end w:w="110" w:type="dxa"/>
            </w:tcMar>
            <w:shd w:fill="16324F"/>
          </w:tcPr>
          <w:p>
            <w:pPr>
              <w:spacing w:after="0"/>
            </w:pPr>
            <w:r/>
            <w:r>
              <w:rPr>
                <w:rFonts w:ascii="Aptos" w:hAnsi="Aptos"/>
                <w:b/>
                <w:color w:val="FFFFFF"/>
                <w:sz w:val="16"/>
              </w:rPr>
              <w:t>DESTINATION</w:t>
            </w:r>
          </w:p>
        </w:tc>
      </w:tr>
      <w:tr>
        <w:tc>
          <w:tcPr>
            <w:tcW w:type="dxa" w:w="4939"/>
            <w:vAlign w:val="center"/>
            <w:tcMar>
              <w:top w:w="110" w:type="dxa"/>
              <w:start w:w="110" w:type="dxa"/>
              <w:bottom w:w="110" w:type="dxa"/>
              <w:end w:w="110" w:type="dxa"/>
            </w:tcMar>
            <w:shd w:fill="FFFFFF"/>
          </w:tcPr>
          <w:p>
            <w:pPr>
              <w:spacing w:after="0"/>
            </w:pPr>
            <w:r/>
            <w:r>
              <w:rPr>
                <w:rFonts w:ascii="Aptos" w:hAnsi="Aptos"/>
                <w:b w:val="0"/>
                <w:color w:val="24313C"/>
                <w:sz w:val="17"/>
              </w:rPr>
              <w:t>What does DRE do?</w:t>
            </w:r>
          </w:p>
        </w:tc>
        <w:tc>
          <w:tcPr>
            <w:tcW w:type="dxa" w:w="4939"/>
            <w:vAlign w:val="center"/>
            <w:tcMar>
              <w:top w:w="110" w:type="dxa"/>
              <w:start w:w="110" w:type="dxa"/>
              <w:bottom w:w="110" w:type="dxa"/>
              <w:end w:w="110" w:type="dxa"/>
            </w:tcMar>
            <w:shd w:fill="FFFFFF"/>
          </w:tcPr>
          <w:p>
            <w:pPr>
              <w:spacing w:after="0"/>
            </w:pPr>
            <w:r/>
            <w:r>
              <w:rPr>
                <w:rFonts w:ascii="Aptos" w:hAnsi="Aptos"/>
                <w:b w:val="0"/>
                <w:color w:val="24313C"/>
                <w:sz w:val="17"/>
              </w:rPr>
              <w:t>Overview.</w:t>
            </w:r>
          </w:p>
        </w:tc>
      </w:tr>
      <w:tr>
        <w:tc>
          <w:tcPr>
            <w:tcW w:type="dxa" w:w="4939"/>
            <w:vAlign w:val="center"/>
            <w:tcMar>
              <w:top w:w="110" w:type="dxa"/>
              <w:start w:w="110" w:type="dxa"/>
              <w:bottom w:w="110" w:type="dxa"/>
              <w:end w:w="110" w:type="dxa"/>
            </w:tcMar>
            <w:shd w:fill="F4F7F9"/>
          </w:tcPr>
          <w:p>
            <w:pPr>
              <w:spacing w:after="0"/>
            </w:pPr>
            <w:r/>
            <w:r>
              <w:rPr>
                <w:rFonts w:ascii="Aptos" w:hAnsi="Aptos"/>
                <w:b w:val="0"/>
                <w:color w:val="24313C"/>
                <w:sz w:val="17"/>
              </w:rPr>
              <w:t>How does it review billing?</w:t>
            </w:r>
          </w:p>
        </w:tc>
        <w:tc>
          <w:tcPr>
            <w:tcW w:type="dxa" w:w="4939"/>
            <w:vAlign w:val="center"/>
            <w:tcMar>
              <w:top w:w="110" w:type="dxa"/>
              <w:start w:w="110" w:type="dxa"/>
              <w:bottom w:w="110" w:type="dxa"/>
              <w:end w:w="110" w:type="dxa"/>
            </w:tcMar>
            <w:shd w:fill="F4F7F9"/>
          </w:tcPr>
          <w:p>
            <w:pPr>
              <w:spacing w:after="0"/>
            </w:pPr>
            <w:r/>
            <w:r>
              <w:rPr>
                <w:rFonts w:ascii="Aptos" w:hAnsi="Aptos"/>
                <w:b w:val="0"/>
                <w:color w:val="24313C"/>
                <w:sz w:val="17"/>
              </w:rPr>
              <w:t>Legal-Billing Workflow.</w:t>
            </w:r>
          </w:p>
        </w:tc>
      </w:tr>
      <w:tr>
        <w:tc>
          <w:tcPr>
            <w:tcW w:type="dxa" w:w="4939"/>
            <w:vAlign w:val="center"/>
            <w:tcMar>
              <w:top w:w="110" w:type="dxa"/>
              <w:start w:w="110" w:type="dxa"/>
              <w:bottom w:w="110" w:type="dxa"/>
              <w:end w:w="110" w:type="dxa"/>
            </w:tcMar>
            <w:shd w:fill="FFFFFF"/>
          </w:tcPr>
          <w:p>
            <w:pPr>
              <w:spacing w:after="0"/>
            </w:pPr>
            <w:r/>
            <w:r>
              <w:rPr>
                <w:rFonts w:ascii="Aptos" w:hAnsi="Aptos"/>
                <w:b w:val="0"/>
                <w:color w:val="24313C"/>
                <w:sz w:val="17"/>
              </w:rPr>
              <w:t>Why deterministic first?</w:t>
            </w:r>
          </w:p>
        </w:tc>
        <w:tc>
          <w:tcPr>
            <w:tcW w:type="dxa" w:w="4939"/>
            <w:vAlign w:val="center"/>
            <w:tcMar>
              <w:top w:w="110" w:type="dxa"/>
              <w:start w:w="110" w:type="dxa"/>
              <w:bottom w:w="110" w:type="dxa"/>
              <w:end w:w="110" w:type="dxa"/>
            </w:tcMar>
            <w:shd w:fill="FFFFFF"/>
          </w:tcPr>
          <w:p>
            <w:pPr>
              <w:spacing w:after="0"/>
            </w:pPr>
            <w:r/>
            <w:r>
              <w:rPr>
                <w:rFonts w:ascii="Aptos" w:hAnsi="Aptos"/>
                <w:b w:val="0"/>
                <w:color w:val="24313C"/>
                <w:sz w:val="17"/>
              </w:rPr>
              <w:t>Deterministic Compliance Engine.</w:t>
            </w:r>
          </w:p>
        </w:tc>
      </w:tr>
      <w:tr>
        <w:tc>
          <w:tcPr>
            <w:tcW w:type="dxa" w:w="4939"/>
            <w:vAlign w:val="center"/>
            <w:tcMar>
              <w:top w:w="110" w:type="dxa"/>
              <w:start w:w="110" w:type="dxa"/>
              <w:bottom w:w="110" w:type="dxa"/>
              <w:end w:w="110" w:type="dxa"/>
            </w:tcMar>
            <w:shd w:fill="F4F7F9"/>
          </w:tcPr>
          <w:p>
            <w:pPr>
              <w:spacing w:after="0"/>
            </w:pPr>
            <w:r/>
            <w:r>
              <w:rPr>
                <w:rFonts w:ascii="Aptos" w:hAnsi="Aptos"/>
                <w:b w:val="0"/>
                <w:color w:val="24313C"/>
                <w:sz w:val="17"/>
              </w:rPr>
              <w:t>Where does AI enter?</w:t>
            </w:r>
          </w:p>
        </w:tc>
        <w:tc>
          <w:tcPr>
            <w:tcW w:type="dxa" w:w="4939"/>
            <w:vAlign w:val="center"/>
            <w:tcMar>
              <w:top w:w="110" w:type="dxa"/>
              <w:start w:w="110" w:type="dxa"/>
              <w:bottom w:w="110" w:type="dxa"/>
              <w:end w:w="110" w:type="dxa"/>
            </w:tcMar>
            <w:shd w:fill="F4F7F9"/>
          </w:tcPr>
          <w:p>
            <w:pPr>
              <w:spacing w:after="0"/>
            </w:pPr>
            <w:r/>
            <w:r>
              <w:rPr>
                <w:rFonts w:ascii="Aptos" w:hAnsi="Aptos"/>
                <w:b w:val="0"/>
                <w:color w:val="24313C"/>
                <w:sz w:val="17"/>
              </w:rPr>
              <w:t>Consensus architecture.</w:t>
            </w:r>
          </w:p>
        </w:tc>
      </w:tr>
      <w:tr>
        <w:tc>
          <w:tcPr>
            <w:tcW w:type="dxa" w:w="4939"/>
            <w:vAlign w:val="center"/>
            <w:tcMar>
              <w:top w:w="110" w:type="dxa"/>
              <w:start w:w="110" w:type="dxa"/>
              <w:bottom w:w="110" w:type="dxa"/>
              <w:end w:w="110" w:type="dxa"/>
            </w:tcMar>
            <w:shd w:fill="FFFFFF"/>
          </w:tcPr>
          <w:p>
            <w:pPr>
              <w:spacing w:after="0"/>
            </w:pPr>
            <w:r/>
            <w:r>
              <w:rPr>
                <w:rFonts w:ascii="Aptos" w:hAnsi="Aptos"/>
                <w:b w:val="0"/>
                <w:color w:val="24313C"/>
                <w:sz w:val="17"/>
              </w:rPr>
              <w:t>What happens when AI disagrees or fails?</w:t>
            </w:r>
          </w:p>
        </w:tc>
        <w:tc>
          <w:tcPr>
            <w:tcW w:type="dxa" w:w="4939"/>
            <w:vAlign w:val="center"/>
            <w:tcMar>
              <w:top w:w="110" w:type="dxa"/>
              <w:start w:w="110" w:type="dxa"/>
              <w:bottom w:w="110" w:type="dxa"/>
              <w:end w:w="110" w:type="dxa"/>
            </w:tcMar>
            <w:shd w:fill="FFFFFF"/>
          </w:tcPr>
          <w:p>
            <w:pPr>
              <w:spacing w:after="0"/>
            </w:pPr>
            <w:r/>
            <w:r>
              <w:rPr>
                <w:rFonts w:ascii="Aptos" w:hAnsi="Aptos"/>
                <w:b w:val="0"/>
                <w:color w:val="24313C"/>
                <w:sz w:val="17"/>
              </w:rPr>
              <w:t>Referee, human review, and controlled-failure documentation.</w:t>
            </w:r>
          </w:p>
        </w:tc>
      </w:tr>
      <w:tr>
        <w:tc>
          <w:tcPr>
            <w:tcW w:type="dxa" w:w="4939"/>
            <w:vAlign w:val="center"/>
            <w:tcMar>
              <w:top w:w="110" w:type="dxa"/>
              <w:start w:w="110" w:type="dxa"/>
              <w:bottom w:w="110" w:type="dxa"/>
              <w:end w:w="110" w:type="dxa"/>
            </w:tcMar>
            <w:shd w:fill="F4F7F9"/>
          </w:tcPr>
          <w:p>
            <w:pPr>
              <w:spacing w:after="0"/>
            </w:pPr>
            <w:r/>
            <w:r>
              <w:rPr>
                <w:rFonts w:ascii="Aptos" w:hAnsi="Aptos"/>
                <w:b w:val="0"/>
                <w:color w:val="24313C"/>
                <w:sz w:val="17"/>
              </w:rPr>
              <w:t>Where does DRE run?</w:t>
            </w:r>
          </w:p>
        </w:tc>
        <w:tc>
          <w:tcPr>
            <w:tcW w:type="dxa" w:w="4939"/>
            <w:vAlign w:val="center"/>
            <w:tcMar>
              <w:top w:w="110" w:type="dxa"/>
              <w:start w:w="110" w:type="dxa"/>
              <w:bottom w:w="110" w:type="dxa"/>
              <w:end w:w="110" w:type="dxa"/>
            </w:tcMar>
            <w:shd w:fill="F4F7F9"/>
          </w:tcPr>
          <w:p>
            <w:pPr>
              <w:spacing w:after="0"/>
            </w:pPr>
            <w:r/>
            <w:r>
              <w:rPr>
                <w:rFonts w:ascii="Aptos" w:hAnsi="Aptos"/>
                <w:b w:val="0"/>
                <w:color w:val="24313C"/>
                <w:sz w:val="17"/>
              </w:rPr>
              <w:t>Azure Architecture.</w:t>
            </w:r>
          </w:p>
        </w:tc>
      </w:tr>
      <w:tr>
        <w:tc>
          <w:tcPr>
            <w:tcW w:type="dxa" w:w="4939"/>
            <w:vAlign w:val="center"/>
            <w:tcMar>
              <w:top w:w="110" w:type="dxa"/>
              <w:start w:w="110" w:type="dxa"/>
              <w:bottom w:w="110" w:type="dxa"/>
              <w:end w:w="110" w:type="dxa"/>
            </w:tcMar>
            <w:shd w:fill="FFFFFF"/>
          </w:tcPr>
          <w:p>
            <w:pPr>
              <w:spacing w:after="0"/>
            </w:pPr>
            <w:r/>
            <w:r>
              <w:rPr>
                <w:rFonts w:ascii="Aptos" w:hAnsi="Aptos"/>
                <w:b w:val="0"/>
                <w:color w:val="24313C"/>
                <w:sz w:val="17"/>
              </w:rPr>
              <w:t>How is the architecture secured?</w:t>
            </w:r>
          </w:p>
        </w:tc>
        <w:tc>
          <w:tcPr>
            <w:tcW w:type="dxa" w:w="4939"/>
            <w:vAlign w:val="center"/>
            <w:tcMar>
              <w:top w:w="110" w:type="dxa"/>
              <w:start w:w="110" w:type="dxa"/>
              <w:bottom w:w="110" w:type="dxa"/>
              <w:end w:w="110" w:type="dxa"/>
            </w:tcMar>
            <w:shd w:fill="FFFFFF"/>
          </w:tcPr>
          <w:p>
            <w:pPr>
              <w:spacing w:after="0"/>
            </w:pPr>
            <w:r/>
            <w:r>
              <w:rPr>
                <w:rFonts w:ascii="Aptos" w:hAnsi="Aptos"/>
                <w:b w:val="0"/>
                <w:color w:val="24313C"/>
                <w:sz w:val="17"/>
              </w:rPr>
              <w:t>Security, Privacy &amp; Governance.</w:t>
            </w:r>
          </w:p>
        </w:tc>
      </w:tr>
      <w:tr>
        <w:tc>
          <w:tcPr>
            <w:tcW w:type="dxa" w:w="4939"/>
            <w:vAlign w:val="center"/>
            <w:tcMar>
              <w:top w:w="110" w:type="dxa"/>
              <w:start w:w="110" w:type="dxa"/>
              <w:bottom w:w="110" w:type="dxa"/>
              <w:end w:w="110" w:type="dxa"/>
            </w:tcMar>
            <w:shd w:fill="F4F7F9"/>
          </w:tcPr>
          <w:p>
            <w:pPr>
              <w:spacing w:after="0"/>
            </w:pPr>
            <w:r/>
            <w:r>
              <w:rPr>
                <w:rFonts w:ascii="Aptos" w:hAnsi="Aptos"/>
                <w:b w:val="0"/>
                <w:color w:val="24313C"/>
                <w:sz w:val="17"/>
              </w:rPr>
              <w:t>How do you know the controls work?</w:t>
            </w:r>
          </w:p>
        </w:tc>
        <w:tc>
          <w:tcPr>
            <w:tcW w:type="dxa" w:w="4939"/>
            <w:vAlign w:val="center"/>
            <w:tcMar>
              <w:top w:w="110" w:type="dxa"/>
              <w:start w:w="110" w:type="dxa"/>
              <w:bottom w:w="110" w:type="dxa"/>
              <w:end w:w="110" w:type="dxa"/>
            </w:tcMar>
            <w:shd w:fill="F4F7F9"/>
          </w:tcPr>
          <w:p>
            <w:pPr>
              <w:spacing w:after="0"/>
            </w:pPr>
            <w:r/>
            <w:r>
              <w:rPr>
                <w:rFonts w:ascii="Aptos" w:hAnsi="Aptos"/>
                <w:b w:val="0"/>
                <w:color w:val="24313C"/>
                <w:sz w:val="17"/>
              </w:rPr>
              <w:t>Validation &amp; Assurance.</w:t>
            </w:r>
          </w:p>
        </w:tc>
      </w:tr>
      <w:tr>
        <w:tc>
          <w:tcPr>
            <w:tcW w:type="dxa" w:w="4939"/>
            <w:vAlign w:val="center"/>
            <w:tcMar>
              <w:top w:w="110" w:type="dxa"/>
              <w:start w:w="110" w:type="dxa"/>
              <w:bottom w:w="110" w:type="dxa"/>
              <w:end w:w="110" w:type="dxa"/>
            </w:tcMar>
            <w:shd w:fill="FFFFFF"/>
          </w:tcPr>
          <w:p>
            <w:pPr>
              <w:spacing w:after="0"/>
            </w:pPr>
            <w:r/>
            <w:r>
              <w:rPr>
                <w:rFonts w:ascii="Aptos" w:hAnsi="Aptos"/>
                <w:b w:val="0"/>
                <w:color w:val="24313C"/>
                <w:sz w:val="17"/>
              </w:rPr>
              <w:t>Can I see it work?</w:t>
            </w:r>
          </w:p>
        </w:tc>
        <w:tc>
          <w:tcPr>
            <w:tcW w:type="dxa" w:w="4939"/>
            <w:vAlign w:val="center"/>
            <w:tcMar>
              <w:top w:w="110" w:type="dxa"/>
              <w:start w:w="110" w:type="dxa"/>
              <w:bottom w:w="110" w:type="dxa"/>
              <w:end w:w="110" w:type="dxa"/>
            </w:tcMar>
            <w:shd w:fill="FFFFFF"/>
          </w:tcPr>
          <w:p>
            <w:pPr>
              <w:spacing w:after="0"/>
            </w:pPr>
            <w:r/>
            <w:r>
              <w:rPr>
                <w:rFonts w:ascii="Aptos" w:hAnsi="Aptos"/>
                <w:b w:val="0"/>
                <w:color w:val="24313C"/>
                <w:sz w:val="17"/>
              </w:rPr>
              <w:t>Working Demonstration.</w:t>
            </w:r>
          </w:p>
        </w:tc>
      </w:tr>
    </w:tbl>
    <w:p/>
    <w:p>
      <w:pPr>
        <w:pStyle w:val="Heading2"/>
      </w:pPr>
      <w:r>
        <w:t>9.24 Documentation as Investor Evidence</w:t>
      </w:r>
    </w:p>
    <w:p>
      <w:r>
        <w:t>The same system provides useful investor evidence without turning the website into an investor pitch.</w:t>
      </w:r>
    </w:p>
    <w:p>
      <w:pPr>
        <w:pStyle w:val="ListBullet"/>
        <w:spacing w:after="60"/>
        <w:ind w:left="360" w:hanging="230"/>
      </w:pPr>
      <w:r>
        <w:t>Product definition</w:t>
      </w:r>
    </w:p>
    <w:p>
      <w:pPr>
        <w:pStyle w:val="ListBullet"/>
        <w:spacing w:after="60"/>
        <w:ind w:left="360" w:hanging="230"/>
      </w:pPr>
      <w:r>
        <w:t>Current implementation</w:t>
      </w:r>
    </w:p>
    <w:p>
      <w:pPr>
        <w:pStyle w:val="ListBullet"/>
        <w:spacing w:after="60"/>
        <w:ind w:left="360" w:hanging="230"/>
      </w:pPr>
      <w:r>
        <w:t>Architecture</w:t>
      </w:r>
    </w:p>
    <w:p>
      <w:pPr>
        <w:pStyle w:val="ListBullet"/>
        <w:spacing w:after="60"/>
        <w:ind w:left="360" w:hanging="230"/>
      </w:pPr>
      <w:r>
        <w:t>Demonstration</w:t>
      </w:r>
    </w:p>
    <w:p>
      <w:pPr>
        <w:pStyle w:val="ListBullet"/>
        <w:spacing w:after="60"/>
        <w:ind w:left="360" w:hanging="230"/>
      </w:pPr>
      <w:r>
        <w:t>Azure direction</w:t>
      </w:r>
    </w:p>
    <w:p>
      <w:pPr>
        <w:pStyle w:val="ListBullet"/>
        <w:spacing w:after="60"/>
        <w:ind w:left="360" w:hanging="230"/>
      </w:pPr>
      <w:r>
        <w:t>Validation methodology</w:t>
      </w:r>
    </w:p>
    <w:p>
      <w:pPr>
        <w:pStyle w:val="ListBullet"/>
        <w:spacing w:after="60"/>
        <w:ind w:left="360" w:hanging="230"/>
      </w:pPr>
      <w:r>
        <w:t>Product boundaries</w:t>
      </w:r>
    </w:p>
    <w:p>
      <w:pPr>
        <w:pStyle w:val="ListBullet"/>
        <w:spacing w:after="60"/>
        <w:ind w:left="360" w:hanging="230"/>
      </w:pPr>
      <w:r>
        <w:t>Market positioning</w:t>
      </w:r>
    </w:p>
    <w:p>
      <w:pPr>
        <w:pStyle w:val="ListBullet"/>
        <w:spacing w:after="60"/>
        <w:ind w:left="360" w:hanging="230"/>
      </w:pPr>
      <w:r>
        <w:t>Development maturity</w:t>
      </w:r>
    </w:p>
    <w:p>
      <w:pPr>
        <w:pStyle w:val="Heading2"/>
      </w:pPr>
      <w:r>
        <w:t>9.25 Feedback and Persistent Data Capture</w:t>
      </w:r>
    </w:p>
    <w:p>
      <w:r>
        <w:t>The website must also provide persistent mechanisms for people interacting with DRE to respond.</w:t>
      </w:r>
    </w:p>
    <w:p>
      <w:pPr>
        <w:pStyle w:val="ListBullet"/>
        <w:spacing w:after="60"/>
        <w:ind w:left="360" w:hanging="230"/>
      </w:pPr>
      <w:r>
        <w:t>Name</w:t>
      </w:r>
    </w:p>
    <w:p>
      <w:pPr>
        <w:pStyle w:val="ListBullet"/>
        <w:spacing w:after="60"/>
        <w:ind w:left="360" w:hanging="230"/>
      </w:pPr>
      <w:r>
        <w:t>Contact information</w:t>
      </w:r>
    </w:p>
    <w:p>
      <w:pPr>
        <w:pStyle w:val="ListBullet"/>
        <w:spacing w:after="60"/>
        <w:ind w:left="360" w:hanging="230"/>
      </w:pPr>
      <w:r>
        <w:t>Waitlist/early-access interest</w:t>
      </w:r>
    </w:p>
    <w:p>
      <w:pPr>
        <w:pStyle w:val="ListBullet"/>
        <w:spacing w:after="60"/>
        <w:ind w:left="360" w:hanging="230"/>
      </w:pPr>
      <w:r>
        <w:t>Product feedback</w:t>
      </w:r>
    </w:p>
    <w:p>
      <w:pPr>
        <w:pStyle w:val="ListBullet"/>
        <w:spacing w:after="60"/>
        <w:ind w:left="360" w:hanging="230"/>
      </w:pPr>
      <w:r>
        <w:t>User input</w:t>
      </w:r>
    </w:p>
    <w:p>
      <w:pPr>
        <w:pStyle w:val="ListBullet"/>
        <w:spacing w:after="60"/>
        <w:ind w:left="360" w:hanging="230"/>
      </w:pPr>
      <w:r>
        <w:t>Named reviews</w:t>
      </w:r>
    </w:p>
    <w:p>
      <w:pPr>
        <w:pStyle w:val="Heading2"/>
      </w:pPr>
      <w:r>
        <w:t>9.26 Distinct User-Submission Types</w:t>
      </w:r>
    </w:p>
    <w:p>
      <w:r>
        <w:t>Different submissions serve different purposes.</w:t>
      </w:r>
    </w:p>
    <w:tbl>
      <w:tblPr>
        <w:tblStyle w:val="TableGrid"/>
        <w:tblW w:type="auto" w:w="0"/>
        <w:jc w:val="center"/>
        <w:tblLook w:firstColumn="1" w:firstRow="1" w:lastColumn="0" w:lastRow="0" w:noHBand="0" w:noVBand="1" w:val="04A0"/>
      </w:tblPr>
      <w:tblGrid>
        <w:gridCol w:w="4939"/>
        <w:gridCol w:w="4939"/>
      </w:tblGrid>
      <w:tr>
        <w:tc>
          <w:tcPr>
            <w:tcW w:type="dxa" w:w="4939"/>
            <w:vAlign w:val="center"/>
            <w:tcMar>
              <w:top w:w="110" w:type="dxa"/>
              <w:start w:w="110" w:type="dxa"/>
              <w:bottom w:w="110" w:type="dxa"/>
              <w:end w:w="110" w:type="dxa"/>
            </w:tcMar>
            <w:shd w:fill="16324F"/>
          </w:tcPr>
          <w:p>
            <w:pPr>
              <w:spacing w:after="0"/>
            </w:pPr>
            <w:r/>
            <w:r>
              <w:rPr>
                <w:rFonts w:ascii="Aptos" w:hAnsi="Aptos"/>
                <w:b/>
                <w:color w:val="FFFFFF"/>
                <w:sz w:val="16"/>
              </w:rPr>
              <w:t>TYPE</w:t>
            </w:r>
          </w:p>
        </w:tc>
        <w:tc>
          <w:tcPr>
            <w:tcW w:type="dxa" w:w="4939"/>
            <w:vAlign w:val="center"/>
            <w:tcMar>
              <w:top w:w="110" w:type="dxa"/>
              <w:start w:w="110" w:type="dxa"/>
              <w:bottom w:w="110" w:type="dxa"/>
              <w:end w:w="110" w:type="dxa"/>
            </w:tcMar>
            <w:shd w:fill="16324F"/>
          </w:tcPr>
          <w:p>
            <w:pPr>
              <w:spacing w:after="0"/>
            </w:pPr>
            <w:r/>
            <w:r>
              <w:rPr>
                <w:rFonts w:ascii="Aptos" w:hAnsi="Aptos"/>
                <w:b/>
                <w:color w:val="FFFFFF"/>
                <w:sz w:val="16"/>
              </w:rPr>
              <w:t>PURPOSE</w:t>
            </w:r>
          </w:p>
        </w:tc>
      </w:tr>
      <w:tr>
        <w:tc>
          <w:tcPr>
            <w:tcW w:type="dxa" w:w="4939"/>
            <w:vAlign w:val="center"/>
            <w:tcMar>
              <w:top w:w="110" w:type="dxa"/>
              <w:start w:w="110" w:type="dxa"/>
              <w:bottom w:w="110" w:type="dxa"/>
              <w:end w:w="110" w:type="dxa"/>
            </w:tcMar>
            <w:shd w:fill="FFFFFF"/>
          </w:tcPr>
          <w:p>
            <w:pPr>
              <w:spacing w:after="0"/>
            </w:pPr>
            <w:r/>
            <w:r>
              <w:rPr>
                <w:rFonts w:ascii="Aptos" w:hAnsi="Aptos"/>
                <w:b w:val="0"/>
                <w:color w:val="24313C"/>
                <w:sz w:val="17"/>
              </w:rPr>
              <w:t>Waitlist / Early Access</w:t>
            </w:r>
          </w:p>
        </w:tc>
        <w:tc>
          <w:tcPr>
            <w:tcW w:type="dxa" w:w="4939"/>
            <w:vAlign w:val="center"/>
            <w:tcMar>
              <w:top w:w="110" w:type="dxa"/>
              <w:start w:w="110" w:type="dxa"/>
              <w:bottom w:w="110" w:type="dxa"/>
              <w:end w:w="110" w:type="dxa"/>
            </w:tcMar>
            <w:shd w:fill="FFFFFF"/>
          </w:tcPr>
          <w:p>
            <w:pPr>
              <w:spacing w:after="0"/>
            </w:pPr>
            <w:r/>
            <w:r>
              <w:rPr>
                <w:rFonts w:ascii="Aptos" w:hAnsi="Aptos"/>
                <w:b w:val="0"/>
                <w:color w:val="24313C"/>
                <w:sz w:val="17"/>
              </w:rPr>
              <w:t>A person wants continued contact or future access.</w:t>
            </w:r>
          </w:p>
        </w:tc>
      </w:tr>
      <w:tr>
        <w:tc>
          <w:tcPr>
            <w:tcW w:type="dxa" w:w="4939"/>
            <w:vAlign w:val="center"/>
            <w:tcMar>
              <w:top w:w="110" w:type="dxa"/>
              <w:start w:w="110" w:type="dxa"/>
              <w:bottom w:w="110" w:type="dxa"/>
              <w:end w:w="110" w:type="dxa"/>
            </w:tcMar>
            <w:shd w:fill="F4F7F9"/>
          </w:tcPr>
          <w:p>
            <w:pPr>
              <w:spacing w:after="0"/>
            </w:pPr>
            <w:r/>
            <w:r>
              <w:rPr>
                <w:rFonts w:ascii="Aptos" w:hAnsi="Aptos"/>
                <w:b w:val="0"/>
                <w:color w:val="24313C"/>
                <w:sz w:val="17"/>
              </w:rPr>
              <w:t>Private Product Feedback</w:t>
            </w:r>
          </w:p>
        </w:tc>
        <w:tc>
          <w:tcPr>
            <w:tcW w:type="dxa" w:w="4939"/>
            <w:vAlign w:val="center"/>
            <w:tcMar>
              <w:top w:w="110" w:type="dxa"/>
              <w:start w:w="110" w:type="dxa"/>
              <w:bottom w:w="110" w:type="dxa"/>
              <w:end w:w="110" w:type="dxa"/>
            </w:tcMar>
            <w:shd w:fill="F4F7F9"/>
          </w:tcPr>
          <w:p>
            <w:pPr>
              <w:spacing w:after="0"/>
            </w:pPr>
            <w:r/>
            <w:r>
              <w:rPr>
                <w:rFonts w:ascii="Aptos" w:hAnsi="Aptos"/>
                <w:b w:val="0"/>
                <w:color w:val="24313C"/>
                <w:sz w:val="17"/>
              </w:rPr>
              <w:t>A person is providing information intended to help improve DRE.</w:t>
            </w:r>
          </w:p>
        </w:tc>
      </w:tr>
      <w:tr>
        <w:tc>
          <w:tcPr>
            <w:tcW w:type="dxa" w:w="4939"/>
            <w:vAlign w:val="center"/>
            <w:tcMar>
              <w:top w:w="110" w:type="dxa"/>
              <w:start w:w="110" w:type="dxa"/>
              <w:bottom w:w="110" w:type="dxa"/>
              <w:end w:w="110" w:type="dxa"/>
            </w:tcMar>
            <w:shd w:fill="FFFFFF"/>
          </w:tcPr>
          <w:p>
            <w:pPr>
              <w:spacing w:after="0"/>
            </w:pPr>
            <w:r/>
            <w:r>
              <w:rPr>
                <w:rFonts w:ascii="Aptos" w:hAnsi="Aptos"/>
                <w:b w:val="0"/>
                <w:color w:val="24313C"/>
                <w:sz w:val="17"/>
              </w:rPr>
              <w:t>Named Review / Testimonial</w:t>
            </w:r>
          </w:p>
        </w:tc>
        <w:tc>
          <w:tcPr>
            <w:tcW w:type="dxa" w:w="4939"/>
            <w:vAlign w:val="center"/>
            <w:tcMar>
              <w:top w:w="110" w:type="dxa"/>
              <w:start w:w="110" w:type="dxa"/>
              <w:bottom w:w="110" w:type="dxa"/>
              <w:end w:w="110" w:type="dxa"/>
            </w:tcMar>
            <w:shd w:fill="FFFFFF"/>
          </w:tcPr>
          <w:p>
            <w:pPr>
              <w:spacing w:after="0"/>
            </w:pPr>
            <w:r/>
            <w:r>
              <w:rPr>
                <w:rFonts w:ascii="Aptos" w:hAnsi="Aptos"/>
                <w:b w:val="0"/>
                <w:color w:val="24313C"/>
                <w:sz w:val="17"/>
              </w:rPr>
              <w:t>A person is providing feedback that may be displayed publicly with their identity.</w:t>
            </w:r>
          </w:p>
        </w:tc>
      </w:tr>
    </w:tbl>
    <w:p/>
    <w:p>
      <w:r>
        <w:t>These may ultimately share technical infrastructure, but they should remain logically distinct because the purpose and permission associated with each submission are different.</w:t>
      </w:r>
    </w:p>
    <w:p>
      <w:pPr>
        <w:pStyle w:val="Heading2"/>
      </w:pPr>
      <w:r>
        <w:t>9.27 Review and Feedback Evidence</w:t>
      </w:r>
    </w:p>
    <w:p>
      <w:r>
        <w:t>User comments should not automatically be treated as validated product success.</w:t>
      </w:r>
    </w:p>
    <w:p>
      <w:pPr>
        <w:pStyle w:val="ListBullet"/>
        <w:spacing w:after="60"/>
        <w:ind w:left="360" w:hanging="230"/>
      </w:pPr>
      <w:r>
        <w:t>Raw feedback</w:t>
      </w:r>
    </w:p>
    <w:p>
      <w:pPr>
        <w:pStyle w:val="ListBullet"/>
        <w:spacing w:after="60"/>
        <w:ind w:left="360" w:hanging="230"/>
      </w:pPr>
      <w:r>
        <w:t>Named review</w:t>
      </w:r>
    </w:p>
    <w:p>
      <w:pPr>
        <w:pStyle w:val="ListBullet"/>
        <w:spacing w:after="60"/>
        <w:ind w:left="360" w:hanging="230"/>
      </w:pPr>
      <w:r>
        <w:t>Public testimonial</w:t>
      </w:r>
    </w:p>
    <w:p>
      <w:pPr>
        <w:pStyle w:val="ListBullet"/>
        <w:spacing w:after="60"/>
        <w:ind w:left="360" w:hanging="230"/>
      </w:pPr>
      <w:r>
        <w:t>Product suggestion</w:t>
      </w:r>
    </w:p>
    <w:p>
      <w:pPr>
        <w:pStyle w:val="ListBullet"/>
        <w:spacing w:after="60"/>
        <w:ind w:left="360" w:hanging="230"/>
      </w:pPr>
      <w:r>
        <w:t>Observed usage</w:t>
      </w:r>
    </w:p>
    <w:p>
      <w:pPr>
        <w:pStyle w:val="ListBullet"/>
        <w:spacing w:after="60"/>
        <w:ind w:left="360" w:hanging="230"/>
      </w:pPr>
      <w:r>
        <w:t>Customer commitment</w:t>
      </w:r>
    </w:p>
    <w:p>
      <w:pPr>
        <w:pStyle w:val="ListBullet"/>
        <w:spacing w:after="60"/>
        <w:ind w:left="360" w:hanging="230"/>
      </w:pPr>
      <w:r>
        <w:t>Commercial customer</w:t>
      </w:r>
    </w:p>
    <w:p>
      <w:pPr>
        <w:pStyle w:val="ListBullet"/>
        <w:spacing w:after="60"/>
        <w:ind w:left="360" w:hanging="230"/>
      </w:pPr>
      <w:r>
        <w:t>Measured customer outcome</w:t>
      </w:r>
    </w:p>
    <w:p>
      <w:pPr>
        <w:pStyle w:val="Heading2"/>
      </w:pPr>
      <w:r>
        <w:t>9.28 Website as a Living Product Record</w:t>
      </w:r>
    </w:p>
    <w:p>
      <w:r>
        <w:t>The DRE website should evolve with the product.</w:t>
      </w:r>
    </w:p>
    <w:p>
      <w:pPr>
        <w:pStyle w:val="ListBullet"/>
        <w:spacing w:after="60"/>
        <w:ind w:left="360" w:hanging="230"/>
      </w:pPr>
      <w:r>
        <w:t>Pages can be updated.</w:t>
      </w:r>
    </w:p>
    <w:p>
      <w:pPr>
        <w:pStyle w:val="ListBullet"/>
        <w:spacing w:after="60"/>
        <w:ind w:left="360" w:hanging="230"/>
      </w:pPr>
      <w:r>
        <w:t>Current/intended distinctions can move.</w:t>
      </w:r>
    </w:p>
    <w:p>
      <w:pPr>
        <w:pStyle w:val="ListBullet"/>
        <w:spacing w:after="60"/>
        <w:ind w:left="360" w:hanging="230"/>
      </w:pPr>
      <w:r>
        <w:t>Diagrams can change.</w:t>
      </w:r>
    </w:p>
    <w:p>
      <w:pPr>
        <w:pStyle w:val="ListBullet"/>
        <w:spacing w:after="60"/>
        <w:ind w:left="360" w:hanging="230"/>
      </w:pPr>
      <w:r>
        <w:t>New documents can be published.</w:t>
      </w:r>
    </w:p>
    <w:p>
      <w:pPr>
        <w:pStyle w:val="ListBullet"/>
        <w:spacing w:after="60"/>
        <w:ind w:left="360" w:hanging="230"/>
      </w:pPr>
      <w:r>
        <w:t>Old documents can remain historical where appropriate.</w:t>
      </w:r>
    </w:p>
    <w:p>
      <w:pPr>
        <w:pStyle w:val="ListBullet"/>
        <w:spacing w:after="60"/>
        <w:ind w:left="360" w:hanging="230"/>
      </w:pPr>
      <w:r>
        <w:t>Demo behavior can advance.</w:t>
      </w:r>
    </w:p>
    <w:p>
      <w:pPr>
        <w:pStyle w:val="ListBullet"/>
        <w:spacing w:after="60"/>
        <w:ind w:left="360" w:hanging="230"/>
      </w:pPr>
      <w:r>
        <w:t>Evidence can become stronger.</w:t>
      </w:r>
    </w:p>
    <w:p>
      <w:pPr>
        <w:pStyle w:val="Heading2"/>
      </w:pPr>
      <w:r>
        <w:t>9.29 Immediate Documentation Priority</w:t>
      </w:r>
    </w:p>
    <w:p>
      <w:r>
        <w:t>The immediate build priority is:</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IMMEDIATE BUILD PRIORITY</w:t>
              <w:br/>
            </w:r>
            <w:r>
              <w:t>Strong DRE entry point → current source-backed pages → working demonstration.</w:t>
            </w:r>
          </w:p>
        </w:tc>
      </w:tr>
    </w:tbl>
    <w:p/>
    <w:p>
      <w:r>
        <w:t>The website does not need every future conceptual page before the working product can be shown.</w:t>
      </w:r>
    </w:p>
    <w:p>
      <w:r>
        <w:t>After the site and demonstration are operating, the documentation system can be reviewed for missing substantive areas.</w:t>
      </w:r>
    </w:p>
    <w:p>
      <w:r>
        <w:t>Those gaps can then be addressed deliberately:</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GAP RESOLUTION</w:t>
              <w:br/>
            </w:r>
            <w:r>
              <w:t>Identify missing piece → establish the content → create the corresponding professional document → create the corresponding webpage.</w:t>
            </w:r>
          </w:p>
        </w:tc>
      </w:tr>
    </w:tbl>
    <w:p/>
    <w:p>
      <w:pPr>
        <w:pStyle w:val="Heading2"/>
      </w:pPr>
      <w:r>
        <w:t>9.30 Documentation Principle</w:t>
      </w:r>
    </w:p>
    <w:p>
      <w:r>
        <w:t>The governing principle is:</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GOVERNING PRINCIPLE</w:t>
              <w:br/>
            </w:r>
            <w:r>
              <w:t>The product, the document, the webpage, the diagram, and the demonstration should tell the same story.</w:t>
            </w:r>
          </w:p>
        </w:tc>
      </w:tr>
    </w:tbl>
    <w:p/>
    <w:p>
      <w:r>
        <w:t>The website makes DRE understandable.</w:t>
      </w:r>
    </w:p>
    <w:p>
      <w:r>
        <w:t>The documents make it inspectable.</w:t>
      </w:r>
    </w:p>
    <w:p>
      <w:r>
        <w:t>The diagrams make it visible.</w:t>
      </w:r>
    </w:p>
    <w:p>
      <w:r>
        <w:t>The demonstration makes it observable.</w:t>
      </w:r>
    </w:p>
    <w:p>
      <w:r>
        <w:t>And the underlying product determines what all of them are allowed to claim.</w:t>
      </w:r>
    </w:p>
    <w:p>
      <w:r>
        <w:br w:type="page"/>
      </w:r>
    </w:p>
    <w:p>
      <w:pPr>
        <w:pStyle w:val="Heading1"/>
      </w:pPr>
      <w:r>
        <w:t>10. Customer Evidence &amp; Market Validation</w:t>
      </w:r>
    </w:p>
    <w:p>
      <w:r>
        <w:t>DRE’s market-validation strategy is built around putting a working product in front of real people and capturing what happens next.</w:t>
      </w:r>
    </w:p>
    <w:p>
      <w:r>
        <w:t>Architecture, research, source code, documentation, and a working demonstration establish that DRE is a serious product effort. They do not by themselves establish that customers want it, understand it, will adopt it, or receive meaningful value from it.</w:t>
      </w:r>
    </w:p>
    <w:p>
      <w:r>
        <w:t>Those questions require external evidence.</w:t>
      </w:r>
    </w:p>
    <w:p>
      <w:r>
        <w:t>The immediate validation model is therefore:</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IMMEDIATE VALIDATION MODEL</w:t>
              <w:br/>
            </w:r>
            <w:r>
              <w:t>Working demo → real evaluators → observed usage → structured feedback → product learning → stronger product → deeper customer engagement → commercial evidence.</w:t>
            </w:r>
          </w:p>
        </w:tc>
      </w:tr>
    </w:tbl>
    <w:p/>
    <w:p>
      <w:r>
        <w:t>DRE should distinguish carefully among different forms of evidence. Someone visiting the website is not the same as someone using the demo. Someone using the demo is not the same as someone joining the waitlist. A positive review is not the same as a customer commitment. A customer commitment is not the same as a measured customer outcome.</w:t>
      </w:r>
    </w:p>
    <w:p>
      <w:r>
        <w:t>The objective is to progressively replace assumptions with stronger evidence.</w:t>
      </w:r>
    </w:p>
    <w:p>
      <w:pPr>
        <w:pStyle w:val="Heading2"/>
      </w:pPr>
      <w:r>
        <w:t>10.1 Market-Validation Objective</w:t>
      </w:r>
    </w:p>
    <w:p>
      <w:r>
        <w:t>The immediate objective is to determine whether the product proposition established in the preceding sections survives contact with actual evaluators.</w:t>
      </w:r>
    </w:p>
    <w:p>
      <w:pPr>
        <w:pStyle w:val="ListBullet"/>
        <w:spacing w:after="60"/>
        <w:ind w:left="360" w:hanging="230"/>
      </w:pPr>
      <w:r>
        <w:t>Understands that proposition</w:t>
      </w:r>
    </w:p>
    <w:p>
      <w:pPr>
        <w:pStyle w:val="ListBullet"/>
        <w:spacing w:after="60"/>
        <w:ind w:left="360" w:hanging="230"/>
      </w:pPr>
      <w:r>
        <w:t>Recognizes the underlying problem</w:t>
      </w:r>
    </w:p>
    <w:p>
      <w:pPr>
        <w:pStyle w:val="ListBullet"/>
        <w:spacing w:after="60"/>
        <w:ind w:left="360" w:hanging="230"/>
      </w:pPr>
      <w:r>
        <w:t>Understands the outputs</w:t>
      </w:r>
    </w:p>
    <w:p>
      <w:pPr>
        <w:pStyle w:val="ListBullet"/>
        <w:spacing w:after="60"/>
        <w:ind w:left="360" w:hanging="230"/>
      </w:pPr>
      <w:r>
        <w:t>Finds the workflow useful</w:t>
      </w:r>
    </w:p>
    <w:p>
      <w:pPr>
        <w:pStyle w:val="ListBullet"/>
        <w:spacing w:after="60"/>
        <w:ind w:left="360" w:hanging="230"/>
      </w:pPr>
      <w:r>
        <w:t>Trusts the review architecture</w:t>
      </w:r>
    </w:p>
    <w:p>
      <w:pPr>
        <w:pStyle w:val="ListBullet"/>
        <w:spacing w:after="60"/>
        <w:ind w:left="360" w:hanging="230"/>
      </w:pPr>
      <w:r>
        <w:t>Values deterministic-first processing</w:t>
      </w:r>
    </w:p>
    <w:p>
      <w:pPr>
        <w:pStyle w:val="ListBullet"/>
        <w:spacing w:after="60"/>
        <w:ind w:left="360" w:hanging="230"/>
      </w:pPr>
      <w:r>
        <w:t>Understands the role of consensus</w:t>
      </w:r>
    </w:p>
    <w:p>
      <w:pPr>
        <w:pStyle w:val="ListBullet"/>
        <w:spacing w:after="60"/>
        <w:ind w:left="360" w:hanging="230"/>
      </w:pPr>
      <w:r>
        <w:t>Accepts human-review routing</w:t>
      </w:r>
    </w:p>
    <w:p>
      <w:pPr>
        <w:pStyle w:val="ListBullet"/>
        <w:spacing w:after="60"/>
        <w:ind w:left="360" w:hanging="230"/>
      </w:pPr>
      <w:r>
        <w:t>Values the customer-owned Azure deployment model</w:t>
      </w:r>
    </w:p>
    <w:p>
      <w:pPr>
        <w:pStyle w:val="ListBullet"/>
        <w:spacing w:after="60"/>
        <w:ind w:left="360" w:hanging="230"/>
      </w:pPr>
      <w:r>
        <w:t>Sees DRE as complementary to the existing legal stack</w:t>
      </w:r>
    </w:p>
    <w:p>
      <w:pPr>
        <w:pStyle w:val="ListBullet"/>
        <w:spacing w:after="60"/>
        <w:ind w:left="360" w:hanging="230"/>
      </w:pPr>
      <w:r>
        <w:t>Wants continued access</w:t>
      </w:r>
    </w:p>
    <w:p>
      <w:pPr>
        <w:pStyle w:val="ListBullet"/>
        <w:spacing w:after="60"/>
        <w:ind w:left="360" w:hanging="230"/>
      </w:pPr>
      <w:r>
        <w:t>Would consider organizational use</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PRODUCT PROPOSITION</w:t>
              <w:br/>
            </w:r>
            <w:r>
              <w:t>Start with a bill.</w:t>
              <w:br/>
              <w:br/>
              <w:t>One legal-billing file in. Two files out.</w:t>
              <w:br/>
              <w:br/>
              <w:t>Review what needs judgment, not what already passes.</w:t>
            </w:r>
          </w:p>
        </w:tc>
      </w:tr>
    </w:tbl>
    <w:p/>
    <w:p>
      <w:pPr>
        <w:pStyle w:val="Heading2"/>
      </w:pPr>
      <w:r>
        <w:t>10.2 Evidence Progression</w:t>
      </w:r>
    </w:p>
    <w:p>
      <w:r>
        <w:t>DRE should evaluate market evidence as a progression rather than collapsing every positive interaction into “traction.”</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EVIDENCE PROGRESSION</w:t>
              <w:br/>
            </w:r>
            <w:r>
              <w:t>Exposure → Engagement → Usage → Feedback → Continued Interest → Evaluation → Commitment → Commercial Use → Measured Outcome.</w:t>
            </w:r>
          </w:p>
        </w:tc>
      </w:tr>
    </w:tbl>
    <w:p/>
    <w:tbl>
      <w:tblPr>
        <w:tblStyle w:val="TableGrid"/>
        <w:tblW w:type="auto" w:w="0"/>
        <w:jc w:val="center"/>
        <w:tblLook w:firstColumn="1" w:firstRow="1" w:lastColumn="0" w:lastRow="0" w:noHBand="0" w:noVBand="1" w:val="04A0"/>
      </w:tblPr>
      <w:tblGrid>
        <w:gridCol w:w="4939"/>
        <w:gridCol w:w="4939"/>
      </w:tblGrid>
      <w:tr>
        <w:tc>
          <w:tcPr>
            <w:tcW w:type="dxa" w:w="4939"/>
            <w:vAlign w:val="center"/>
            <w:tcMar>
              <w:top w:w="110" w:type="dxa"/>
              <w:start w:w="110" w:type="dxa"/>
              <w:bottom w:w="110" w:type="dxa"/>
              <w:end w:w="110" w:type="dxa"/>
            </w:tcMar>
            <w:shd w:fill="16324F"/>
          </w:tcPr>
          <w:p>
            <w:pPr>
              <w:spacing w:after="0"/>
            </w:pPr>
            <w:r/>
            <w:r>
              <w:rPr>
                <w:rFonts w:ascii="Aptos" w:hAnsi="Aptos"/>
                <w:b/>
                <w:color w:val="FFFFFF"/>
                <w:sz w:val="16"/>
              </w:rPr>
              <w:t>STAGE</w:t>
            </w:r>
          </w:p>
        </w:tc>
        <w:tc>
          <w:tcPr>
            <w:tcW w:type="dxa" w:w="4939"/>
            <w:vAlign w:val="center"/>
            <w:tcMar>
              <w:top w:w="110" w:type="dxa"/>
              <w:start w:w="110" w:type="dxa"/>
              <w:bottom w:w="110" w:type="dxa"/>
              <w:end w:w="110" w:type="dxa"/>
            </w:tcMar>
            <w:shd w:fill="16324F"/>
          </w:tcPr>
          <w:p>
            <w:pPr>
              <w:spacing w:after="0"/>
            </w:pPr>
            <w:r/>
            <w:r>
              <w:rPr>
                <w:rFonts w:ascii="Aptos" w:hAnsi="Aptos"/>
                <w:b/>
                <w:color w:val="FFFFFF"/>
                <w:sz w:val="16"/>
              </w:rPr>
              <w:t>QUESTION</w:t>
            </w:r>
          </w:p>
        </w:tc>
      </w:tr>
      <w:tr>
        <w:tc>
          <w:tcPr>
            <w:tcW w:type="dxa" w:w="4939"/>
            <w:vAlign w:val="center"/>
            <w:tcMar>
              <w:top w:w="110" w:type="dxa"/>
              <w:start w:w="110" w:type="dxa"/>
              <w:bottom w:w="110" w:type="dxa"/>
              <w:end w:w="110" w:type="dxa"/>
            </w:tcMar>
            <w:shd w:fill="FFFFFF"/>
          </w:tcPr>
          <w:p>
            <w:pPr>
              <w:spacing w:after="0"/>
            </w:pPr>
            <w:r/>
            <w:r>
              <w:rPr>
                <w:rFonts w:ascii="Aptos" w:hAnsi="Aptos"/>
                <w:b w:val="0"/>
                <w:color w:val="24313C"/>
                <w:sz w:val="17"/>
              </w:rPr>
              <w:t>Exposure</w:t>
            </w:r>
          </w:p>
        </w:tc>
        <w:tc>
          <w:tcPr>
            <w:tcW w:type="dxa" w:w="4939"/>
            <w:vAlign w:val="center"/>
            <w:tcMar>
              <w:top w:w="110" w:type="dxa"/>
              <w:start w:w="110" w:type="dxa"/>
              <w:bottom w:w="110" w:type="dxa"/>
              <w:end w:w="110" w:type="dxa"/>
            </w:tcMar>
            <w:shd w:fill="FFFFFF"/>
          </w:tcPr>
          <w:p>
            <w:pPr>
              <w:spacing w:after="0"/>
            </w:pPr>
            <w:r/>
            <w:r>
              <w:rPr>
                <w:rFonts w:ascii="Aptos" w:hAnsi="Aptos"/>
                <w:b w:val="0"/>
                <w:color w:val="24313C"/>
                <w:sz w:val="17"/>
              </w:rPr>
              <w:t>Did someone encounter DRE?</w:t>
            </w:r>
          </w:p>
        </w:tc>
      </w:tr>
      <w:tr>
        <w:tc>
          <w:tcPr>
            <w:tcW w:type="dxa" w:w="4939"/>
            <w:vAlign w:val="center"/>
            <w:tcMar>
              <w:top w:w="110" w:type="dxa"/>
              <w:start w:w="110" w:type="dxa"/>
              <w:bottom w:w="110" w:type="dxa"/>
              <w:end w:w="110" w:type="dxa"/>
            </w:tcMar>
            <w:shd w:fill="F4F7F9"/>
          </w:tcPr>
          <w:p>
            <w:pPr>
              <w:spacing w:after="0"/>
            </w:pPr>
            <w:r/>
            <w:r>
              <w:rPr>
                <w:rFonts w:ascii="Aptos" w:hAnsi="Aptos"/>
                <w:b w:val="0"/>
                <w:color w:val="24313C"/>
                <w:sz w:val="17"/>
              </w:rPr>
              <w:t>Engagement</w:t>
            </w:r>
          </w:p>
        </w:tc>
        <w:tc>
          <w:tcPr>
            <w:tcW w:type="dxa" w:w="4939"/>
            <w:vAlign w:val="center"/>
            <w:tcMar>
              <w:top w:w="110" w:type="dxa"/>
              <w:start w:w="110" w:type="dxa"/>
              <w:bottom w:w="110" w:type="dxa"/>
              <w:end w:w="110" w:type="dxa"/>
            </w:tcMar>
            <w:shd w:fill="F4F7F9"/>
          </w:tcPr>
          <w:p>
            <w:pPr>
              <w:spacing w:after="0"/>
            </w:pPr>
            <w:r/>
            <w:r>
              <w:rPr>
                <w:rFonts w:ascii="Aptos" w:hAnsi="Aptos"/>
                <w:b w:val="0"/>
                <w:color w:val="24313C"/>
                <w:sz w:val="17"/>
              </w:rPr>
              <w:t>Did the proposition cause them to investigate further?</w:t>
            </w:r>
          </w:p>
        </w:tc>
      </w:tr>
      <w:tr>
        <w:tc>
          <w:tcPr>
            <w:tcW w:type="dxa" w:w="4939"/>
            <w:vAlign w:val="center"/>
            <w:tcMar>
              <w:top w:w="110" w:type="dxa"/>
              <w:start w:w="110" w:type="dxa"/>
              <w:bottom w:w="110" w:type="dxa"/>
              <w:end w:w="110" w:type="dxa"/>
            </w:tcMar>
            <w:shd w:fill="FFFFFF"/>
          </w:tcPr>
          <w:p>
            <w:pPr>
              <w:spacing w:after="0"/>
            </w:pPr>
            <w:r/>
            <w:r>
              <w:rPr>
                <w:rFonts w:ascii="Aptos" w:hAnsi="Aptos"/>
                <w:b w:val="0"/>
                <w:color w:val="24313C"/>
                <w:sz w:val="17"/>
              </w:rPr>
              <w:t>Usage</w:t>
            </w:r>
          </w:p>
        </w:tc>
        <w:tc>
          <w:tcPr>
            <w:tcW w:type="dxa" w:w="4939"/>
            <w:vAlign w:val="center"/>
            <w:tcMar>
              <w:top w:w="110" w:type="dxa"/>
              <w:start w:w="110" w:type="dxa"/>
              <w:bottom w:w="110" w:type="dxa"/>
              <w:end w:w="110" w:type="dxa"/>
            </w:tcMar>
            <w:shd w:fill="FFFFFF"/>
          </w:tcPr>
          <w:p>
            <w:pPr>
              <w:spacing w:after="0"/>
            </w:pPr>
            <w:r/>
            <w:r>
              <w:rPr>
                <w:rFonts w:ascii="Aptos" w:hAnsi="Aptos"/>
                <w:b w:val="0"/>
                <w:color w:val="24313C"/>
                <w:sz w:val="17"/>
              </w:rPr>
              <w:t>Did they actually try the product?</w:t>
            </w:r>
          </w:p>
        </w:tc>
      </w:tr>
      <w:tr>
        <w:tc>
          <w:tcPr>
            <w:tcW w:type="dxa" w:w="4939"/>
            <w:vAlign w:val="center"/>
            <w:tcMar>
              <w:top w:w="110" w:type="dxa"/>
              <w:start w:w="110" w:type="dxa"/>
              <w:bottom w:w="110" w:type="dxa"/>
              <w:end w:w="110" w:type="dxa"/>
            </w:tcMar>
            <w:shd w:fill="F4F7F9"/>
          </w:tcPr>
          <w:p>
            <w:pPr>
              <w:spacing w:after="0"/>
            </w:pPr>
            <w:r/>
            <w:r>
              <w:rPr>
                <w:rFonts w:ascii="Aptos" w:hAnsi="Aptos"/>
                <w:b w:val="0"/>
                <w:color w:val="24313C"/>
                <w:sz w:val="17"/>
              </w:rPr>
              <w:t>Feedback</w:t>
            </w:r>
          </w:p>
        </w:tc>
        <w:tc>
          <w:tcPr>
            <w:tcW w:type="dxa" w:w="4939"/>
            <w:vAlign w:val="center"/>
            <w:tcMar>
              <w:top w:w="110" w:type="dxa"/>
              <w:start w:w="110" w:type="dxa"/>
              <w:bottom w:w="110" w:type="dxa"/>
              <w:end w:w="110" w:type="dxa"/>
            </w:tcMar>
            <w:shd w:fill="F4F7F9"/>
          </w:tcPr>
          <w:p>
            <w:pPr>
              <w:spacing w:after="0"/>
            </w:pPr>
            <w:r/>
            <w:r>
              <w:rPr>
                <w:rFonts w:ascii="Aptos" w:hAnsi="Aptos"/>
                <w:b w:val="0"/>
                <w:color w:val="24313C"/>
                <w:sz w:val="17"/>
              </w:rPr>
              <w:t>What did they think after using it?</w:t>
            </w:r>
          </w:p>
        </w:tc>
      </w:tr>
      <w:tr>
        <w:tc>
          <w:tcPr>
            <w:tcW w:type="dxa" w:w="4939"/>
            <w:vAlign w:val="center"/>
            <w:tcMar>
              <w:top w:w="110" w:type="dxa"/>
              <w:start w:w="110" w:type="dxa"/>
              <w:bottom w:w="110" w:type="dxa"/>
              <w:end w:w="110" w:type="dxa"/>
            </w:tcMar>
            <w:shd w:fill="FFFFFF"/>
          </w:tcPr>
          <w:p>
            <w:pPr>
              <w:spacing w:after="0"/>
            </w:pPr>
            <w:r/>
            <w:r>
              <w:rPr>
                <w:rFonts w:ascii="Aptos" w:hAnsi="Aptos"/>
                <w:b w:val="0"/>
                <w:color w:val="24313C"/>
                <w:sz w:val="17"/>
              </w:rPr>
              <w:t>Continued Interest</w:t>
            </w:r>
          </w:p>
        </w:tc>
        <w:tc>
          <w:tcPr>
            <w:tcW w:type="dxa" w:w="4939"/>
            <w:vAlign w:val="center"/>
            <w:tcMar>
              <w:top w:w="110" w:type="dxa"/>
              <w:start w:w="110" w:type="dxa"/>
              <w:bottom w:w="110" w:type="dxa"/>
              <w:end w:w="110" w:type="dxa"/>
            </w:tcMar>
            <w:shd w:fill="FFFFFF"/>
          </w:tcPr>
          <w:p>
            <w:pPr>
              <w:spacing w:after="0"/>
            </w:pPr>
            <w:r/>
            <w:r>
              <w:rPr>
                <w:rFonts w:ascii="Aptos" w:hAnsi="Aptos"/>
                <w:b w:val="0"/>
                <w:color w:val="24313C"/>
                <w:sz w:val="17"/>
              </w:rPr>
              <w:t>Did they want to remain connected to DRE?</w:t>
            </w:r>
          </w:p>
        </w:tc>
      </w:tr>
      <w:tr>
        <w:tc>
          <w:tcPr>
            <w:tcW w:type="dxa" w:w="4939"/>
            <w:vAlign w:val="center"/>
            <w:tcMar>
              <w:top w:w="110" w:type="dxa"/>
              <w:start w:w="110" w:type="dxa"/>
              <w:bottom w:w="110" w:type="dxa"/>
              <w:end w:w="110" w:type="dxa"/>
            </w:tcMar>
            <w:shd w:fill="F4F7F9"/>
          </w:tcPr>
          <w:p>
            <w:pPr>
              <w:spacing w:after="0"/>
            </w:pPr>
            <w:r/>
            <w:r>
              <w:rPr>
                <w:rFonts w:ascii="Aptos" w:hAnsi="Aptos"/>
                <w:b w:val="0"/>
                <w:color w:val="24313C"/>
                <w:sz w:val="17"/>
              </w:rPr>
              <w:t>Evaluation</w:t>
            </w:r>
          </w:p>
        </w:tc>
        <w:tc>
          <w:tcPr>
            <w:tcW w:type="dxa" w:w="4939"/>
            <w:vAlign w:val="center"/>
            <w:tcMar>
              <w:top w:w="110" w:type="dxa"/>
              <w:start w:w="110" w:type="dxa"/>
              <w:bottom w:w="110" w:type="dxa"/>
              <w:end w:w="110" w:type="dxa"/>
            </w:tcMar>
            <w:shd w:fill="F4F7F9"/>
          </w:tcPr>
          <w:p>
            <w:pPr>
              <w:spacing w:after="0"/>
            </w:pPr>
            <w:r/>
            <w:r>
              <w:rPr>
                <w:rFonts w:ascii="Aptos" w:hAnsi="Aptos"/>
                <w:b w:val="0"/>
                <w:color w:val="24313C"/>
                <w:sz w:val="17"/>
              </w:rPr>
              <w:t>Did they begin considering organizational use?</w:t>
            </w:r>
          </w:p>
        </w:tc>
      </w:tr>
      <w:tr>
        <w:tc>
          <w:tcPr>
            <w:tcW w:type="dxa" w:w="4939"/>
            <w:vAlign w:val="center"/>
            <w:tcMar>
              <w:top w:w="110" w:type="dxa"/>
              <w:start w:w="110" w:type="dxa"/>
              <w:bottom w:w="110" w:type="dxa"/>
              <w:end w:w="110" w:type="dxa"/>
            </w:tcMar>
            <w:shd w:fill="FFFFFF"/>
          </w:tcPr>
          <w:p>
            <w:pPr>
              <w:spacing w:after="0"/>
            </w:pPr>
            <w:r/>
            <w:r>
              <w:rPr>
                <w:rFonts w:ascii="Aptos" w:hAnsi="Aptos"/>
                <w:b w:val="0"/>
                <w:color w:val="24313C"/>
                <w:sz w:val="17"/>
              </w:rPr>
              <w:t>Commitment</w:t>
            </w:r>
          </w:p>
        </w:tc>
        <w:tc>
          <w:tcPr>
            <w:tcW w:type="dxa" w:w="4939"/>
            <w:vAlign w:val="center"/>
            <w:tcMar>
              <w:top w:w="110" w:type="dxa"/>
              <w:start w:w="110" w:type="dxa"/>
              <w:bottom w:w="110" w:type="dxa"/>
              <w:end w:w="110" w:type="dxa"/>
            </w:tcMar>
            <w:shd w:fill="FFFFFF"/>
          </w:tcPr>
          <w:p>
            <w:pPr>
              <w:spacing w:after="0"/>
            </w:pPr>
            <w:r/>
            <w:r>
              <w:rPr>
                <w:rFonts w:ascii="Aptos" w:hAnsi="Aptos"/>
                <w:b w:val="0"/>
                <w:color w:val="24313C"/>
                <w:sz w:val="17"/>
              </w:rPr>
              <w:t>Did they take a concrete step toward adoption?</w:t>
            </w:r>
          </w:p>
        </w:tc>
      </w:tr>
      <w:tr>
        <w:tc>
          <w:tcPr>
            <w:tcW w:type="dxa" w:w="4939"/>
            <w:vAlign w:val="center"/>
            <w:tcMar>
              <w:top w:w="110" w:type="dxa"/>
              <w:start w:w="110" w:type="dxa"/>
              <w:bottom w:w="110" w:type="dxa"/>
              <w:end w:w="110" w:type="dxa"/>
            </w:tcMar>
            <w:shd w:fill="F4F7F9"/>
          </w:tcPr>
          <w:p>
            <w:pPr>
              <w:spacing w:after="0"/>
            </w:pPr>
            <w:r/>
            <w:r>
              <w:rPr>
                <w:rFonts w:ascii="Aptos" w:hAnsi="Aptos"/>
                <w:b w:val="0"/>
                <w:color w:val="24313C"/>
                <w:sz w:val="17"/>
              </w:rPr>
              <w:t>Commercial Use</w:t>
            </w:r>
          </w:p>
        </w:tc>
        <w:tc>
          <w:tcPr>
            <w:tcW w:type="dxa" w:w="4939"/>
            <w:vAlign w:val="center"/>
            <w:tcMar>
              <w:top w:w="110" w:type="dxa"/>
              <w:start w:w="110" w:type="dxa"/>
              <w:bottom w:w="110" w:type="dxa"/>
              <w:end w:w="110" w:type="dxa"/>
            </w:tcMar>
            <w:shd w:fill="F4F7F9"/>
          </w:tcPr>
          <w:p>
            <w:pPr>
              <w:spacing w:after="0"/>
            </w:pPr>
            <w:r/>
            <w:r>
              <w:rPr>
                <w:rFonts w:ascii="Aptos" w:hAnsi="Aptos"/>
                <w:b w:val="0"/>
                <w:color w:val="24313C"/>
                <w:sz w:val="17"/>
              </w:rPr>
              <w:t>Did an organization actually pay for or formally engage with DRE?</w:t>
            </w:r>
          </w:p>
        </w:tc>
      </w:tr>
      <w:tr>
        <w:tc>
          <w:tcPr>
            <w:tcW w:type="dxa" w:w="4939"/>
            <w:vAlign w:val="center"/>
            <w:tcMar>
              <w:top w:w="110" w:type="dxa"/>
              <w:start w:w="110" w:type="dxa"/>
              <w:bottom w:w="110" w:type="dxa"/>
              <w:end w:w="110" w:type="dxa"/>
            </w:tcMar>
            <w:shd w:fill="FFFFFF"/>
          </w:tcPr>
          <w:p>
            <w:pPr>
              <w:spacing w:after="0"/>
            </w:pPr>
            <w:r/>
            <w:r>
              <w:rPr>
                <w:rFonts w:ascii="Aptos" w:hAnsi="Aptos"/>
                <w:b w:val="0"/>
                <w:color w:val="24313C"/>
                <w:sz w:val="17"/>
              </w:rPr>
              <w:t>Measured Outcome</w:t>
            </w:r>
          </w:p>
        </w:tc>
        <w:tc>
          <w:tcPr>
            <w:tcW w:type="dxa" w:w="4939"/>
            <w:vAlign w:val="center"/>
            <w:tcMar>
              <w:top w:w="110" w:type="dxa"/>
              <w:start w:w="110" w:type="dxa"/>
              <w:bottom w:w="110" w:type="dxa"/>
              <w:end w:w="110" w:type="dxa"/>
            </w:tcMar>
            <w:shd w:fill="FFFFFF"/>
          </w:tcPr>
          <w:p>
            <w:pPr>
              <w:spacing w:after="0"/>
            </w:pPr>
            <w:r/>
            <w:r>
              <w:rPr>
                <w:rFonts w:ascii="Aptos" w:hAnsi="Aptos"/>
                <w:b w:val="0"/>
                <w:color w:val="24313C"/>
                <w:sz w:val="17"/>
              </w:rPr>
              <w:t>What happened when DRE was used in an actual customer environment?</w:t>
            </w:r>
          </w:p>
        </w:tc>
      </w:tr>
    </w:tbl>
    <w:p/>
    <w:p>
      <w:pPr>
        <w:pStyle w:val="Heading2"/>
      </w:pPr>
      <w:r>
        <w:t>10.3 Live Demo Users</w:t>
      </w:r>
    </w:p>
    <w:p>
      <w:r>
        <w:t>The working demonstration creates DRE’s first direct product-usage evidence.</w:t>
      </w:r>
    </w:p>
    <w:p>
      <w:pPr>
        <w:pStyle w:val="ListBullet"/>
        <w:spacing w:after="60"/>
        <w:ind w:left="360" w:hanging="230"/>
      </w:pPr>
      <w:r>
        <w:t>Number of demo users</w:t>
      </w:r>
    </w:p>
    <w:p>
      <w:pPr>
        <w:pStyle w:val="ListBullet"/>
        <w:spacing w:after="60"/>
        <w:ind w:left="360" w:hanging="230"/>
      </w:pPr>
      <w:r>
        <w:t>Number of completed demo runs</w:t>
      </w:r>
    </w:p>
    <w:p>
      <w:pPr>
        <w:pStyle w:val="ListBullet"/>
        <w:spacing w:after="60"/>
        <w:ind w:left="360" w:hanging="230"/>
      </w:pPr>
      <w:r>
        <w:t>Number of repeat users</w:t>
      </w:r>
    </w:p>
    <w:p>
      <w:pPr>
        <w:pStyle w:val="ListBullet"/>
        <w:spacing w:after="60"/>
        <w:ind w:left="360" w:hanging="230"/>
      </w:pPr>
      <w:r>
        <w:t>Sample-file processing completion</w:t>
      </w:r>
    </w:p>
    <w:p>
      <w:pPr>
        <w:pStyle w:val="ListBullet"/>
        <w:spacing w:after="60"/>
        <w:ind w:left="360" w:hanging="230"/>
      </w:pPr>
      <w:r>
        <w:t>Result downloads</w:t>
      </w:r>
    </w:p>
    <w:p>
      <w:pPr>
        <w:pStyle w:val="ListBullet"/>
        <w:spacing w:after="60"/>
        <w:ind w:left="360" w:hanging="230"/>
      </w:pPr>
      <w:r>
        <w:t>Feedback submissions</w:t>
      </w:r>
    </w:p>
    <w:p>
      <w:pPr>
        <w:pStyle w:val="ListBullet"/>
        <w:spacing w:after="60"/>
        <w:ind w:left="360" w:hanging="230"/>
      </w:pPr>
      <w:r>
        <w:t>Waitlist conversions</w:t>
      </w:r>
    </w:p>
    <w:p>
      <w:pPr>
        <w:pStyle w:val="ListBullet"/>
        <w:spacing w:after="60"/>
        <w:ind w:left="360" w:hanging="230"/>
      </w:pPr>
      <w:r>
        <w:t>Review submissions</w:t>
      </w:r>
    </w:p>
    <w:p>
      <w:pPr>
        <w:pStyle w:val="ListBullet"/>
        <w:spacing w:after="60"/>
        <w:ind w:left="360" w:hanging="230"/>
      </w:pPr>
      <w:r>
        <w:t>Abandonment points</w:t>
      </w:r>
    </w:p>
    <w:p>
      <w:pPr>
        <w:pStyle w:val="ListBullet"/>
        <w:spacing w:after="60"/>
        <w:ind w:left="360" w:hanging="230"/>
      </w:pPr>
      <w:r>
        <w:t>Errors encountered</w:t>
      </w:r>
    </w:p>
    <w:p>
      <w:pPr>
        <w:pStyle w:val="Heading2"/>
      </w:pPr>
      <w:r>
        <w:t>10.4 Evaluator Segmentation</w:t>
      </w:r>
    </w:p>
    <w:p>
      <w:r>
        <w:t>Feedback becomes more useful when DRE understands who supplied it.</w:t>
      </w:r>
    </w:p>
    <w:p>
      <w:pPr>
        <w:pStyle w:val="ListBullet"/>
        <w:spacing w:after="60"/>
        <w:ind w:left="360" w:hanging="230"/>
      </w:pPr>
      <w:r>
        <w:t>General counsel</w:t>
      </w:r>
    </w:p>
    <w:p>
      <w:pPr>
        <w:pStyle w:val="ListBullet"/>
        <w:spacing w:after="60"/>
        <w:ind w:left="360" w:hanging="230"/>
      </w:pPr>
      <w:r>
        <w:t>Corporate legal professionals</w:t>
      </w:r>
    </w:p>
    <w:p>
      <w:pPr>
        <w:pStyle w:val="ListBullet"/>
        <w:spacing w:after="60"/>
        <w:ind w:left="360" w:hanging="230"/>
      </w:pPr>
      <w:r>
        <w:t>Legal operations professionals</w:t>
      </w:r>
    </w:p>
    <w:p>
      <w:pPr>
        <w:pStyle w:val="ListBullet"/>
        <w:spacing w:after="60"/>
        <w:ind w:left="360" w:hanging="230"/>
      </w:pPr>
      <w:r>
        <w:t>Billing/compliance reviewers</w:t>
      </w:r>
    </w:p>
    <w:p>
      <w:pPr>
        <w:pStyle w:val="ListBullet"/>
        <w:spacing w:after="60"/>
        <w:ind w:left="360" w:hanging="230"/>
      </w:pPr>
      <w:r>
        <w:t>Law-firm billing professionals</w:t>
      </w:r>
    </w:p>
    <w:p>
      <w:pPr>
        <w:pStyle w:val="ListBullet"/>
        <w:spacing w:after="60"/>
        <w:ind w:left="360" w:hanging="230"/>
      </w:pPr>
      <w:r>
        <w:t>Legal-technology professionals</w:t>
      </w:r>
    </w:p>
    <w:p>
      <w:pPr>
        <w:pStyle w:val="ListBullet"/>
        <w:spacing w:after="60"/>
        <w:ind w:left="360" w:hanging="230"/>
      </w:pPr>
      <w:r>
        <w:t>Enterprise IT/security professionals</w:t>
      </w:r>
    </w:p>
    <w:p>
      <w:pPr>
        <w:pStyle w:val="ListBullet"/>
        <w:spacing w:after="60"/>
        <w:ind w:left="360" w:hanging="230"/>
      </w:pPr>
      <w:r>
        <w:t>Procurement stakeholders</w:t>
      </w:r>
    </w:p>
    <w:p>
      <w:pPr>
        <w:pStyle w:val="ListBullet"/>
        <w:spacing w:after="60"/>
        <w:ind w:left="360" w:hanging="230"/>
      </w:pPr>
      <w:r>
        <w:t>Investors</w:t>
      </w:r>
    </w:p>
    <w:p>
      <w:pPr>
        <w:pStyle w:val="ListBullet"/>
        <w:spacing w:after="60"/>
        <w:ind w:left="360" w:hanging="230"/>
      </w:pPr>
      <w:r>
        <w:t>Technologists</w:t>
      </w:r>
    </w:p>
    <w:p>
      <w:pPr>
        <w:pStyle w:val="ListBullet"/>
        <w:spacing w:after="60"/>
        <w:ind w:left="360" w:hanging="230"/>
      </w:pPr>
      <w:r>
        <w:t>Other evaluators</w:t>
      </w:r>
    </w:p>
    <w:p>
      <w:pPr>
        <w:pStyle w:val="Heading2"/>
      </w:pPr>
      <w:r>
        <w:t>10.5 Early Access / Waitlist</w:t>
      </w:r>
    </w:p>
    <w:p>
      <w:r>
        <w:t>The waitlist provides a stronger signal than passive website traffic because the evaluator has taken an affirmative step to remain connected to DRE.</w:t>
      </w:r>
    </w:p>
    <w:p>
      <w:pPr>
        <w:pStyle w:val="ListBullet"/>
        <w:spacing w:after="60"/>
        <w:ind w:left="360" w:hanging="230"/>
      </w:pPr>
      <w:r>
        <w:t>Name</w:t>
      </w:r>
    </w:p>
    <w:p>
      <w:pPr>
        <w:pStyle w:val="ListBullet"/>
        <w:spacing w:after="60"/>
        <w:ind w:left="360" w:hanging="230"/>
      </w:pPr>
      <w:r>
        <w:t>Organization</w:t>
      </w:r>
    </w:p>
    <w:p>
      <w:pPr>
        <w:pStyle w:val="ListBullet"/>
        <w:spacing w:after="60"/>
        <w:ind w:left="360" w:hanging="230"/>
      </w:pPr>
      <w:r>
        <w:t>Role</w:t>
      </w:r>
    </w:p>
    <w:p>
      <w:pPr>
        <w:pStyle w:val="ListBullet"/>
        <w:spacing w:after="60"/>
        <w:ind w:left="360" w:hanging="230"/>
      </w:pPr>
      <w:r>
        <w:t>Contact information</w:t>
      </w:r>
    </w:p>
    <w:p>
      <w:pPr>
        <w:pStyle w:val="ListBullet"/>
        <w:spacing w:after="60"/>
        <w:ind w:left="360" w:hanging="230"/>
      </w:pPr>
      <w:r>
        <w:t>Interest in beta/early access</w:t>
      </w:r>
    </w:p>
    <w:p>
      <w:pPr>
        <w:pStyle w:val="ListBullet"/>
        <w:spacing w:after="60"/>
        <w:ind w:left="360" w:hanging="230"/>
      </w:pPr>
      <w:r>
        <w:t>Relevant legal-billing responsibility</w:t>
      </w:r>
    </w:p>
    <w:p>
      <w:pPr>
        <w:pStyle w:val="ListBullet"/>
        <w:spacing w:after="60"/>
        <w:ind w:left="360" w:hanging="230"/>
      </w:pPr>
      <w:r>
        <w:t>Optional comments</w:t>
      </w:r>
    </w:p>
    <w:p>
      <w:pPr>
        <w:pStyle w:val="Heading2"/>
      </w:pPr>
      <w:r>
        <w:t>10.6 Contact Capture</w:t>
      </w:r>
    </w:p>
    <w:p>
      <w:r>
        <w:t>DRE needs a persistent contact record for people who explicitly choose to continue the relationship.</w:t>
      </w:r>
    </w:p>
    <w:p>
      <w:pPr>
        <w:pStyle w:val="ListBullet"/>
        <w:spacing w:after="60"/>
        <w:ind w:left="360" w:hanging="230"/>
      </w:pPr>
      <w:r>
        <w:t>Early-access invitations</w:t>
      </w:r>
    </w:p>
    <w:p>
      <w:pPr>
        <w:pStyle w:val="ListBullet"/>
        <w:spacing w:after="60"/>
        <w:ind w:left="360" w:hanging="230"/>
      </w:pPr>
      <w:r>
        <w:t>Product updates</w:t>
      </w:r>
    </w:p>
    <w:p>
      <w:pPr>
        <w:pStyle w:val="ListBullet"/>
        <w:spacing w:after="60"/>
        <w:ind w:left="360" w:hanging="230"/>
      </w:pPr>
      <w:r>
        <w:t>Demo follow-up</w:t>
      </w:r>
    </w:p>
    <w:p>
      <w:pPr>
        <w:pStyle w:val="ListBullet"/>
        <w:spacing w:after="60"/>
        <w:ind w:left="360" w:hanging="230"/>
      </w:pPr>
      <w:r>
        <w:t>Customer discovery</w:t>
      </w:r>
    </w:p>
    <w:p>
      <w:pPr>
        <w:pStyle w:val="ListBullet"/>
        <w:spacing w:after="60"/>
        <w:ind w:left="360" w:hanging="230"/>
      </w:pPr>
      <w:r>
        <w:t>Design-partner conversations</w:t>
      </w:r>
    </w:p>
    <w:p>
      <w:pPr>
        <w:pStyle w:val="ListBullet"/>
        <w:spacing w:after="60"/>
        <w:ind w:left="360" w:hanging="230"/>
      </w:pPr>
      <w:r>
        <w:t>Investor follow-up</w:t>
      </w:r>
    </w:p>
    <w:p>
      <w:pPr>
        <w:pStyle w:val="ListBullet"/>
        <w:spacing w:after="60"/>
        <w:ind w:left="360" w:hanging="230"/>
      </w:pPr>
      <w:r>
        <w:t>Technical evaluation</w:t>
      </w:r>
    </w:p>
    <w:p>
      <w:pPr>
        <w:pStyle w:val="ListBullet"/>
        <w:spacing w:after="60"/>
        <w:ind w:left="360" w:hanging="230"/>
      </w:pPr>
      <w:r>
        <w:t>Future commercial engagement</w:t>
      </w:r>
    </w:p>
    <w:p>
      <w:pPr>
        <w:pStyle w:val="Heading2"/>
      </w:pPr>
      <w:r>
        <w:t>10.7 Private Product Feedback</w:t>
      </w:r>
    </w:p>
    <w:p>
      <w:r>
        <w:t>Private product feedback is intended to improve DRE.</w:t>
      </w:r>
    </w:p>
    <w:p>
      <w:pPr>
        <w:pStyle w:val="ListBullet"/>
        <w:spacing w:after="60"/>
        <w:ind w:left="360" w:hanging="230"/>
      </w:pPr>
      <w:r>
        <w:t>What was confusing</w:t>
      </w:r>
    </w:p>
    <w:p>
      <w:pPr>
        <w:pStyle w:val="ListBullet"/>
        <w:spacing w:after="60"/>
        <w:ind w:left="360" w:hanging="230"/>
      </w:pPr>
      <w:r>
        <w:t>What was useful</w:t>
      </w:r>
    </w:p>
    <w:p>
      <w:pPr>
        <w:pStyle w:val="ListBullet"/>
        <w:spacing w:after="60"/>
        <w:ind w:left="360" w:hanging="230"/>
      </w:pPr>
      <w:r>
        <w:t>What was missing</w:t>
      </w:r>
    </w:p>
    <w:p>
      <w:pPr>
        <w:pStyle w:val="ListBullet"/>
        <w:spacing w:after="60"/>
        <w:ind w:left="360" w:hanging="230"/>
      </w:pPr>
      <w:r>
        <w:t>What felt unnecessary</w:t>
      </w:r>
    </w:p>
    <w:p>
      <w:pPr>
        <w:pStyle w:val="ListBullet"/>
        <w:spacing w:after="60"/>
        <w:ind w:left="360" w:hanging="230"/>
      </w:pPr>
      <w:r>
        <w:t>What they expected to happen</w:t>
      </w:r>
    </w:p>
    <w:p>
      <w:pPr>
        <w:pStyle w:val="ListBullet"/>
        <w:spacing w:after="60"/>
        <w:ind w:left="360" w:hanging="230"/>
      </w:pPr>
      <w:r>
        <w:t>What they would need before using DRE</w:t>
      </w:r>
    </w:p>
    <w:p>
      <w:pPr>
        <w:pStyle w:val="ListBullet"/>
        <w:spacing w:after="60"/>
        <w:ind w:left="360" w:hanging="230"/>
      </w:pPr>
      <w:r>
        <w:t>What result information matters</w:t>
      </w:r>
    </w:p>
    <w:p>
      <w:pPr>
        <w:pStyle w:val="ListBullet"/>
        <w:spacing w:after="60"/>
        <w:ind w:left="360" w:hanging="230"/>
      </w:pPr>
      <w:r>
        <w:t>What terminology does not make sense</w:t>
      </w:r>
    </w:p>
    <w:p>
      <w:pPr>
        <w:pStyle w:val="ListBullet"/>
        <w:spacing w:after="60"/>
        <w:ind w:left="360" w:hanging="230"/>
      </w:pPr>
      <w:r>
        <w:t>What workflow problem remains unresolved</w:t>
      </w:r>
    </w:p>
    <w:p>
      <w:pPr>
        <w:pStyle w:val="ListBullet"/>
        <w:spacing w:after="60"/>
        <w:ind w:left="360" w:hanging="230"/>
      </w:pPr>
      <w:r>
        <w:t>What would prevent adoption</w:t>
      </w:r>
    </w:p>
    <w:p>
      <w:pPr>
        <w:pStyle w:val="Heading2"/>
      </w:pPr>
      <w:r>
        <w:t>10.8 Named Reviews</w:t>
      </w:r>
    </w:p>
    <w:p>
      <w:r>
        <w:t>DRE also intends to support named reviews.</w:t>
      </w:r>
    </w:p>
    <w:p>
      <w:pPr>
        <w:pStyle w:val="ListBullet"/>
        <w:spacing w:after="60"/>
        <w:ind w:left="360" w:hanging="230"/>
      </w:pPr>
      <w:r>
        <w:t>Reviewer identity</w:t>
      </w:r>
    </w:p>
    <w:p>
      <w:pPr>
        <w:pStyle w:val="ListBullet"/>
        <w:spacing w:after="60"/>
        <w:ind w:left="360" w:hanging="230"/>
      </w:pPr>
      <w:r>
        <w:t>Review text</w:t>
      </w:r>
    </w:p>
    <w:p>
      <w:pPr>
        <w:pStyle w:val="ListBullet"/>
        <w:spacing w:after="60"/>
        <w:ind w:left="360" w:hanging="230"/>
      </w:pPr>
      <w:r>
        <w:t>Submission date</w:t>
      </w:r>
    </w:p>
    <w:p>
      <w:pPr>
        <w:pStyle w:val="ListBullet"/>
        <w:spacing w:after="60"/>
        <w:ind w:left="360" w:hanging="230"/>
      </w:pPr>
      <w:r>
        <w:t>Relevant role/organization information when supplied</w:t>
      </w:r>
    </w:p>
    <w:p>
      <w:pPr>
        <w:pStyle w:val="ListBullet"/>
        <w:spacing w:after="60"/>
        <w:ind w:left="360" w:hanging="230"/>
      </w:pPr>
      <w:r>
        <w:t>Permission state governing public use</w:t>
      </w:r>
    </w:p>
    <w:p>
      <w:pPr>
        <w:pStyle w:val="Heading2"/>
      </w:pPr>
      <w:r>
        <w:t>10.9 Testimonials</w:t>
      </w:r>
    </w:p>
    <w:p>
      <w:r>
        <w:t>A testimonial is a form of externally usable customer/evaluator evidence.</w:t>
      </w:r>
    </w:p>
    <w:p>
      <w:pPr>
        <w:pStyle w:val="ListBullet"/>
        <w:spacing w:after="60"/>
        <w:ind w:left="360" w:hanging="230"/>
      </w:pPr>
      <w:r>
        <w:t>Private feedback</w:t>
      </w:r>
    </w:p>
    <w:p>
      <w:pPr>
        <w:pStyle w:val="ListBullet"/>
        <w:spacing w:after="60"/>
        <w:ind w:left="360" w:hanging="230"/>
      </w:pPr>
      <w:r>
        <w:t>Anonymous comments</w:t>
      </w:r>
    </w:p>
    <w:p>
      <w:pPr>
        <w:pStyle w:val="ListBullet"/>
        <w:spacing w:after="60"/>
        <w:ind w:left="360" w:hanging="230"/>
      </w:pPr>
      <w:r>
        <w:t>Internal notes</w:t>
      </w:r>
    </w:p>
    <w:p>
      <w:pPr>
        <w:pStyle w:val="ListBullet"/>
        <w:spacing w:after="60"/>
        <w:ind w:left="360" w:hanging="230"/>
      </w:pPr>
      <w:r>
        <w:t>Product suggestions</w:t>
      </w:r>
    </w:p>
    <w:p>
      <w:pPr>
        <w:pStyle w:val="ListBullet"/>
        <w:spacing w:after="60"/>
        <w:ind w:left="360" w:hanging="230"/>
      </w:pPr>
      <w:r>
        <w:t>Waitlist registrations</w:t>
      </w:r>
    </w:p>
    <w:p>
      <w:pPr>
        <w:pStyle w:val="Heading2"/>
      </w:pPr>
      <w:r>
        <w:t>10.10 Review Consent</w:t>
      </w:r>
    </w:p>
    <w:p>
      <w:r>
        <w:t>Consent should be associated with the purpose for which submitted information will be used.</w:t>
      </w:r>
    </w:p>
    <w:tbl>
      <w:tblPr>
        <w:tblStyle w:val="TableGrid"/>
        <w:tblW w:type="auto" w:w="0"/>
        <w:jc w:val="center"/>
        <w:tblLook w:firstColumn="1" w:firstRow="1" w:lastColumn="0" w:lastRow="0" w:noHBand="0" w:noVBand="1" w:val="04A0"/>
      </w:tblPr>
      <w:tblGrid>
        <w:gridCol w:w="4939"/>
        <w:gridCol w:w="4939"/>
      </w:tblGrid>
      <w:tr>
        <w:tc>
          <w:tcPr>
            <w:tcW w:type="dxa" w:w="4939"/>
            <w:vAlign w:val="center"/>
            <w:tcMar>
              <w:top w:w="110" w:type="dxa"/>
              <w:start w:w="110" w:type="dxa"/>
              <w:bottom w:w="110" w:type="dxa"/>
              <w:end w:w="110" w:type="dxa"/>
            </w:tcMar>
            <w:shd w:fill="16324F"/>
          </w:tcPr>
          <w:p>
            <w:pPr>
              <w:spacing w:after="0"/>
            </w:pPr>
            <w:r/>
            <w:r>
              <w:rPr>
                <w:rFonts w:ascii="Aptos" w:hAnsi="Aptos"/>
                <w:b/>
                <w:color w:val="FFFFFF"/>
                <w:sz w:val="16"/>
              </w:rPr>
              <w:t>PERMISSION</w:t>
            </w:r>
          </w:p>
        </w:tc>
        <w:tc>
          <w:tcPr>
            <w:tcW w:type="dxa" w:w="4939"/>
            <w:vAlign w:val="center"/>
            <w:tcMar>
              <w:top w:w="110" w:type="dxa"/>
              <w:start w:w="110" w:type="dxa"/>
              <w:bottom w:w="110" w:type="dxa"/>
              <w:end w:w="110" w:type="dxa"/>
            </w:tcMar>
            <w:shd w:fill="16324F"/>
          </w:tcPr>
          <w:p>
            <w:pPr>
              <w:spacing w:after="0"/>
            </w:pPr>
            <w:r/>
            <w:r>
              <w:rPr>
                <w:rFonts w:ascii="Aptos" w:hAnsi="Aptos"/>
                <w:b/>
                <w:color w:val="FFFFFF"/>
                <w:sz w:val="16"/>
              </w:rPr>
              <w:t>PURPOSE</w:t>
            </w:r>
          </w:p>
        </w:tc>
      </w:tr>
      <w:tr>
        <w:tc>
          <w:tcPr>
            <w:tcW w:type="dxa" w:w="4939"/>
            <w:vAlign w:val="center"/>
            <w:tcMar>
              <w:top w:w="110" w:type="dxa"/>
              <w:start w:w="110" w:type="dxa"/>
              <w:bottom w:w="110" w:type="dxa"/>
              <w:end w:w="110" w:type="dxa"/>
            </w:tcMar>
            <w:shd w:fill="FFFFFF"/>
          </w:tcPr>
          <w:p>
            <w:pPr>
              <w:spacing w:after="0"/>
            </w:pPr>
            <w:r/>
            <w:r>
              <w:rPr>
                <w:rFonts w:ascii="Aptos" w:hAnsi="Aptos"/>
                <w:b w:val="0"/>
                <w:color w:val="24313C"/>
                <w:sz w:val="17"/>
              </w:rPr>
              <w:t>Contact permission</w:t>
            </w:r>
          </w:p>
        </w:tc>
        <w:tc>
          <w:tcPr>
            <w:tcW w:type="dxa" w:w="4939"/>
            <w:vAlign w:val="center"/>
            <w:tcMar>
              <w:top w:w="110" w:type="dxa"/>
              <w:start w:w="110" w:type="dxa"/>
              <w:bottom w:w="110" w:type="dxa"/>
              <w:end w:w="110" w:type="dxa"/>
            </w:tcMar>
            <w:shd w:fill="FFFFFF"/>
          </w:tcPr>
          <w:p>
            <w:pPr>
              <w:spacing w:after="0"/>
            </w:pPr>
            <w:r/>
            <w:r>
              <w:rPr>
                <w:rFonts w:ascii="Aptos" w:hAnsi="Aptos"/>
                <w:b w:val="0"/>
                <w:color w:val="24313C"/>
                <w:sz w:val="17"/>
              </w:rPr>
              <w:t>The person wants continued communication.</w:t>
            </w:r>
          </w:p>
        </w:tc>
      </w:tr>
      <w:tr>
        <w:tc>
          <w:tcPr>
            <w:tcW w:type="dxa" w:w="4939"/>
            <w:vAlign w:val="center"/>
            <w:tcMar>
              <w:top w:w="110" w:type="dxa"/>
              <w:start w:w="110" w:type="dxa"/>
              <w:bottom w:w="110" w:type="dxa"/>
              <w:end w:w="110" w:type="dxa"/>
            </w:tcMar>
            <w:shd w:fill="F4F7F9"/>
          </w:tcPr>
          <w:p>
            <w:pPr>
              <w:spacing w:after="0"/>
            </w:pPr>
            <w:r/>
            <w:r>
              <w:rPr>
                <w:rFonts w:ascii="Aptos" w:hAnsi="Aptos"/>
                <w:b w:val="0"/>
                <w:color w:val="24313C"/>
                <w:sz w:val="17"/>
              </w:rPr>
              <w:t>Private-feedback submission</w:t>
            </w:r>
          </w:p>
        </w:tc>
        <w:tc>
          <w:tcPr>
            <w:tcW w:type="dxa" w:w="4939"/>
            <w:vAlign w:val="center"/>
            <w:tcMar>
              <w:top w:w="110" w:type="dxa"/>
              <w:start w:w="110" w:type="dxa"/>
              <w:bottom w:w="110" w:type="dxa"/>
              <w:end w:w="110" w:type="dxa"/>
            </w:tcMar>
            <w:shd w:fill="F4F7F9"/>
          </w:tcPr>
          <w:p>
            <w:pPr>
              <w:spacing w:after="0"/>
            </w:pPr>
            <w:r/>
            <w:r>
              <w:rPr>
                <w:rFonts w:ascii="Aptos" w:hAnsi="Aptos"/>
                <w:b w:val="0"/>
                <w:color w:val="24313C"/>
                <w:sz w:val="17"/>
              </w:rPr>
              <w:t>The person is providing information to improve the product.</w:t>
            </w:r>
          </w:p>
        </w:tc>
      </w:tr>
      <w:tr>
        <w:tc>
          <w:tcPr>
            <w:tcW w:type="dxa" w:w="4939"/>
            <w:vAlign w:val="center"/>
            <w:tcMar>
              <w:top w:w="110" w:type="dxa"/>
              <w:start w:w="110" w:type="dxa"/>
              <w:bottom w:w="110" w:type="dxa"/>
              <w:end w:w="110" w:type="dxa"/>
            </w:tcMar>
            <w:shd w:fill="FFFFFF"/>
          </w:tcPr>
          <w:p>
            <w:pPr>
              <w:spacing w:after="0"/>
            </w:pPr>
            <w:r/>
            <w:r>
              <w:rPr>
                <w:rFonts w:ascii="Aptos" w:hAnsi="Aptos"/>
                <w:b w:val="0"/>
                <w:color w:val="24313C"/>
                <w:sz w:val="17"/>
              </w:rPr>
              <w:t>Public-review permission</w:t>
            </w:r>
          </w:p>
        </w:tc>
        <w:tc>
          <w:tcPr>
            <w:tcW w:type="dxa" w:w="4939"/>
            <w:vAlign w:val="center"/>
            <w:tcMar>
              <w:top w:w="110" w:type="dxa"/>
              <w:start w:w="110" w:type="dxa"/>
              <w:bottom w:w="110" w:type="dxa"/>
              <w:end w:w="110" w:type="dxa"/>
            </w:tcMar>
            <w:shd w:fill="FFFFFF"/>
          </w:tcPr>
          <w:p>
            <w:pPr>
              <w:spacing w:after="0"/>
            </w:pPr>
            <w:r/>
            <w:r>
              <w:rPr>
                <w:rFonts w:ascii="Aptos" w:hAnsi="Aptos"/>
                <w:b w:val="0"/>
                <w:color w:val="24313C"/>
                <w:sz w:val="17"/>
              </w:rPr>
              <w:t>The person authorizes the submitted review and associated approved identifying information to be displayed publicly.</w:t>
            </w:r>
          </w:p>
        </w:tc>
      </w:tr>
    </w:tbl>
    <w:p/>
    <w:p>
      <w:pPr>
        <w:pStyle w:val="Heading2"/>
      </w:pPr>
      <w:r>
        <w:t>10.11 Feedback Database</w:t>
      </w:r>
    </w:p>
    <w:p>
      <w:r>
        <w:t>The website requires persistent storage for evaluator and customer input.</w:t>
      </w:r>
    </w:p>
    <w:p>
      <w:pPr>
        <w:pStyle w:val="ListBullet"/>
        <w:spacing w:after="60"/>
        <w:ind w:left="360" w:hanging="230"/>
      </w:pPr>
      <w:r>
        <w:t>Submission identifier</w:t>
      </w:r>
    </w:p>
    <w:p>
      <w:pPr>
        <w:pStyle w:val="ListBullet"/>
        <w:spacing w:after="60"/>
        <w:ind w:left="360" w:hanging="230"/>
      </w:pPr>
      <w:r>
        <w:t>Submission type</w:t>
      </w:r>
    </w:p>
    <w:p>
      <w:pPr>
        <w:pStyle w:val="ListBullet"/>
        <w:spacing w:after="60"/>
        <w:ind w:left="360" w:hanging="230"/>
      </w:pPr>
      <w:r>
        <w:t>Date/time</w:t>
      </w:r>
    </w:p>
    <w:p>
      <w:pPr>
        <w:pStyle w:val="ListBullet"/>
        <w:spacing w:after="60"/>
        <w:ind w:left="360" w:hanging="230"/>
      </w:pPr>
      <w:r>
        <w:t>Evaluator identity where supplied</w:t>
      </w:r>
    </w:p>
    <w:p>
      <w:pPr>
        <w:pStyle w:val="ListBullet"/>
        <w:spacing w:after="60"/>
        <w:ind w:left="360" w:hanging="230"/>
      </w:pPr>
      <w:r>
        <w:t>Organization/role where supplied</w:t>
      </w:r>
    </w:p>
    <w:p>
      <w:pPr>
        <w:pStyle w:val="ListBullet"/>
        <w:spacing w:after="60"/>
        <w:ind w:left="360" w:hanging="230"/>
      </w:pPr>
      <w:r>
        <w:t>Contact information</w:t>
      </w:r>
    </w:p>
    <w:p>
      <w:pPr>
        <w:pStyle w:val="ListBullet"/>
        <w:spacing w:after="60"/>
        <w:ind w:left="360" w:hanging="230"/>
      </w:pPr>
      <w:r>
        <w:t>Feedback/review text</w:t>
      </w:r>
    </w:p>
    <w:p>
      <w:pPr>
        <w:pStyle w:val="ListBullet"/>
        <w:spacing w:after="60"/>
        <w:ind w:left="360" w:hanging="230"/>
      </w:pPr>
      <w:r>
        <w:t>Consent state</w:t>
      </w:r>
    </w:p>
    <w:p>
      <w:pPr>
        <w:pStyle w:val="ListBullet"/>
        <w:spacing w:after="60"/>
        <w:ind w:left="360" w:hanging="230"/>
      </w:pPr>
      <w:r>
        <w:t>Demo interaction where available</w:t>
      </w:r>
    </w:p>
    <w:p>
      <w:pPr>
        <w:pStyle w:val="ListBullet"/>
        <w:spacing w:after="60"/>
        <w:ind w:left="360" w:hanging="230"/>
      </w:pPr>
      <w:r>
        <w:t>Follow-up state</w:t>
      </w:r>
    </w:p>
    <w:p>
      <w:pPr>
        <w:pStyle w:val="Heading2"/>
      </w:pPr>
      <w:r>
        <w:t>10.12 Usage Evidence</w:t>
      </w:r>
    </w:p>
    <w:p>
      <w:r>
        <w:t>DRE should distinguish what users say from what users do.</w:t>
      </w:r>
    </w:p>
    <w:p>
      <w:pPr>
        <w:pStyle w:val="Heading2"/>
      </w:pPr>
      <w:r>
        <w:t>10.13 Product-Learning Record</w:t>
      </w:r>
    </w:p>
    <w:p>
      <w:r>
        <w:t>Market validation should produce a durable learning record.</w:t>
      </w:r>
    </w:p>
    <w:p>
      <w:pPr>
        <w:pStyle w:val="ListBullet"/>
        <w:spacing w:after="60"/>
        <w:ind w:left="360" w:hanging="230"/>
      </w:pPr>
      <w:r>
        <w:t>Evidence source</w:t>
      </w:r>
    </w:p>
    <w:p>
      <w:pPr>
        <w:pStyle w:val="ListBullet"/>
        <w:spacing w:after="60"/>
        <w:ind w:left="360" w:hanging="230"/>
      </w:pPr>
      <w:r>
        <w:t>Evaluator type</w:t>
      </w:r>
    </w:p>
    <w:p>
      <w:pPr>
        <w:pStyle w:val="ListBullet"/>
        <w:spacing w:after="60"/>
        <w:ind w:left="360" w:hanging="230"/>
      </w:pPr>
      <w:r>
        <w:t>Observation</w:t>
      </w:r>
    </w:p>
    <w:p>
      <w:pPr>
        <w:pStyle w:val="ListBullet"/>
        <w:spacing w:after="60"/>
        <w:ind w:left="360" w:hanging="230"/>
      </w:pPr>
      <w:r>
        <w:t>Complaint or request</w:t>
      </w:r>
    </w:p>
    <w:p>
      <w:pPr>
        <w:pStyle w:val="ListBullet"/>
        <w:spacing w:after="60"/>
        <w:ind w:left="360" w:hanging="230"/>
      </w:pPr>
      <w:r>
        <w:t>Frequency</w:t>
      </w:r>
    </w:p>
    <w:p>
      <w:pPr>
        <w:pStyle w:val="ListBullet"/>
        <w:spacing w:after="60"/>
        <w:ind w:left="360" w:hanging="230"/>
      </w:pPr>
      <w:r>
        <w:t>Severity</w:t>
      </w:r>
    </w:p>
    <w:p>
      <w:pPr>
        <w:pStyle w:val="ListBullet"/>
        <w:spacing w:after="60"/>
        <w:ind w:left="360" w:hanging="230"/>
      </w:pPr>
      <w:r>
        <w:t>Current DRE behavior</w:t>
      </w:r>
    </w:p>
    <w:p>
      <w:pPr>
        <w:pStyle w:val="ListBullet"/>
        <w:spacing w:after="60"/>
        <w:ind w:left="360" w:hanging="230"/>
      </w:pPr>
      <w:r>
        <w:t>Whether DRE can address it</w:t>
      </w:r>
    </w:p>
    <w:p>
      <w:pPr>
        <w:pStyle w:val="ListBullet"/>
        <w:spacing w:after="60"/>
        <w:ind w:left="360" w:hanging="230"/>
      </w:pPr>
      <w:r>
        <w:t>Product implication</w:t>
      </w:r>
    </w:p>
    <w:p>
      <w:pPr>
        <w:pStyle w:val="ListBullet"/>
        <w:spacing w:after="60"/>
        <w:ind w:left="360" w:hanging="230"/>
      </w:pPr>
      <w:r>
        <w:t>Architecture implication</w:t>
      </w:r>
    </w:p>
    <w:p>
      <w:pPr>
        <w:pStyle w:val="ListBullet"/>
        <w:spacing w:after="60"/>
        <w:ind w:left="360" w:hanging="230"/>
      </w:pPr>
      <w:r>
        <w:t>UX implication</w:t>
      </w:r>
    </w:p>
    <w:p>
      <w:pPr>
        <w:pStyle w:val="ListBullet"/>
        <w:spacing w:after="60"/>
        <w:ind w:left="360" w:hanging="230"/>
      </w:pPr>
      <w:r>
        <w:t>Documentation implication</w:t>
      </w:r>
    </w:p>
    <w:p>
      <w:pPr>
        <w:pStyle w:val="ListBullet"/>
        <w:spacing w:after="60"/>
        <w:ind w:left="360" w:hanging="230"/>
      </w:pPr>
      <w:r>
        <w:t>Commercial implication</w:t>
      </w:r>
    </w:p>
    <w:p>
      <w:pPr>
        <w:pStyle w:val="ListBullet"/>
        <w:spacing w:after="60"/>
        <w:ind w:left="360" w:hanging="230"/>
      </w:pPr>
      <w:r>
        <w:t>Decision/status</w:t>
      </w:r>
    </w:p>
    <w:p>
      <w:pPr>
        <w:pStyle w:val="Heading2"/>
      </w:pPr>
      <w:r>
        <w:t>10.14 Voice-of-Customer Classification</w:t>
      </w:r>
    </w:p>
    <w:p>
      <w:r>
        <w:t>Customer complaints should not all automatically become features.</w:t>
      </w:r>
    </w:p>
    <w:tbl>
      <w:tblPr>
        <w:tblStyle w:val="TableGrid"/>
        <w:tblW w:type="auto" w:w="0"/>
        <w:jc w:val="center"/>
        <w:tblLook w:firstColumn="1" w:firstRow="1" w:lastColumn="0" w:lastRow="0" w:noHBand="0" w:noVBand="1" w:val="04A0"/>
      </w:tblPr>
      <w:tblGrid>
        <w:gridCol w:w="4939"/>
        <w:gridCol w:w="4939"/>
      </w:tblGrid>
      <w:tr>
        <w:tc>
          <w:tcPr>
            <w:tcW w:type="dxa" w:w="4939"/>
            <w:vAlign w:val="center"/>
            <w:tcMar>
              <w:top w:w="110" w:type="dxa"/>
              <w:start w:w="110" w:type="dxa"/>
              <w:bottom w:w="110" w:type="dxa"/>
              <w:end w:w="110" w:type="dxa"/>
            </w:tcMar>
            <w:shd w:fill="16324F"/>
          </w:tcPr>
          <w:p>
            <w:pPr>
              <w:spacing w:after="0"/>
            </w:pPr>
            <w:r/>
            <w:r>
              <w:rPr>
                <w:rFonts w:ascii="Aptos" w:hAnsi="Aptos"/>
                <w:b/>
                <w:color w:val="FFFFFF"/>
                <w:sz w:val="16"/>
              </w:rPr>
              <w:t>CLASSIFICATION</w:t>
            </w:r>
          </w:p>
        </w:tc>
        <w:tc>
          <w:tcPr>
            <w:tcW w:type="dxa" w:w="4939"/>
            <w:vAlign w:val="center"/>
            <w:tcMar>
              <w:top w:w="110" w:type="dxa"/>
              <w:start w:w="110" w:type="dxa"/>
              <w:bottom w:w="110" w:type="dxa"/>
              <w:end w:w="110" w:type="dxa"/>
            </w:tcMar>
            <w:shd w:fill="16324F"/>
          </w:tcPr>
          <w:p>
            <w:pPr>
              <w:spacing w:after="0"/>
            </w:pPr>
            <w:r/>
            <w:r>
              <w:rPr>
                <w:rFonts w:ascii="Aptos" w:hAnsi="Aptos"/>
                <w:b/>
                <w:color w:val="FFFFFF"/>
                <w:sz w:val="16"/>
              </w:rPr>
              <w:t>MEANING</w:t>
            </w:r>
          </w:p>
        </w:tc>
      </w:tr>
      <w:tr>
        <w:tc>
          <w:tcPr>
            <w:tcW w:type="dxa" w:w="4939"/>
            <w:vAlign w:val="center"/>
            <w:tcMar>
              <w:top w:w="110" w:type="dxa"/>
              <w:start w:w="110" w:type="dxa"/>
              <w:bottom w:w="110" w:type="dxa"/>
              <w:end w:w="110" w:type="dxa"/>
            </w:tcMar>
            <w:shd w:fill="FFFFFF"/>
          </w:tcPr>
          <w:p>
            <w:pPr>
              <w:spacing w:after="0"/>
            </w:pPr>
            <w:r/>
            <w:r>
              <w:rPr>
                <w:rFonts w:ascii="Aptos" w:hAnsi="Aptos"/>
                <w:b w:val="0"/>
                <w:color w:val="24313C"/>
                <w:sz w:val="17"/>
              </w:rPr>
              <w:t>A. Feature requirement</w:t>
            </w:r>
          </w:p>
        </w:tc>
        <w:tc>
          <w:tcPr>
            <w:tcW w:type="dxa" w:w="4939"/>
            <w:vAlign w:val="center"/>
            <w:tcMar>
              <w:top w:w="110" w:type="dxa"/>
              <w:start w:w="110" w:type="dxa"/>
              <w:bottom w:w="110" w:type="dxa"/>
              <w:end w:w="110" w:type="dxa"/>
            </w:tcMar>
            <w:shd w:fill="FFFFFF"/>
          </w:tcPr>
          <w:p>
            <w:pPr>
              <w:spacing w:after="0"/>
            </w:pPr>
            <w:r/>
            <w:r>
              <w:rPr>
                <w:rFonts w:ascii="Aptos" w:hAnsi="Aptos"/>
                <w:b w:val="0"/>
                <w:color w:val="24313C"/>
                <w:sz w:val="17"/>
              </w:rPr>
              <w:t>DRE needs capability it does not currently provide.</w:t>
            </w:r>
          </w:p>
        </w:tc>
      </w:tr>
      <w:tr>
        <w:tc>
          <w:tcPr>
            <w:tcW w:type="dxa" w:w="4939"/>
            <w:vAlign w:val="center"/>
            <w:tcMar>
              <w:top w:w="110" w:type="dxa"/>
              <w:start w:w="110" w:type="dxa"/>
              <w:bottom w:w="110" w:type="dxa"/>
              <w:end w:w="110" w:type="dxa"/>
            </w:tcMar>
            <w:shd w:fill="F4F7F9"/>
          </w:tcPr>
          <w:p>
            <w:pPr>
              <w:spacing w:after="0"/>
            </w:pPr>
            <w:r/>
            <w:r>
              <w:rPr>
                <w:rFonts w:ascii="Aptos" w:hAnsi="Aptos"/>
                <w:b w:val="0"/>
                <w:color w:val="24313C"/>
                <w:sz w:val="17"/>
              </w:rPr>
              <w:t>B. Architecture requirement</w:t>
            </w:r>
          </w:p>
        </w:tc>
        <w:tc>
          <w:tcPr>
            <w:tcW w:type="dxa" w:w="4939"/>
            <w:vAlign w:val="center"/>
            <w:tcMar>
              <w:top w:w="110" w:type="dxa"/>
              <w:start w:w="110" w:type="dxa"/>
              <w:bottom w:w="110" w:type="dxa"/>
              <w:end w:w="110" w:type="dxa"/>
            </w:tcMar>
            <w:shd w:fill="F4F7F9"/>
          </w:tcPr>
          <w:p>
            <w:pPr>
              <w:spacing w:after="0"/>
            </w:pPr>
            <w:r/>
            <w:r>
              <w:rPr>
                <w:rFonts w:ascii="Aptos" w:hAnsi="Aptos"/>
                <w:b w:val="0"/>
                <w:color w:val="24313C"/>
                <w:sz w:val="17"/>
              </w:rPr>
              <w:t>The issue should be solved through the underlying system design.</w:t>
            </w:r>
          </w:p>
        </w:tc>
      </w:tr>
      <w:tr>
        <w:tc>
          <w:tcPr>
            <w:tcW w:type="dxa" w:w="4939"/>
            <w:vAlign w:val="center"/>
            <w:tcMar>
              <w:top w:w="110" w:type="dxa"/>
              <w:start w:w="110" w:type="dxa"/>
              <w:bottom w:w="110" w:type="dxa"/>
              <w:end w:w="110" w:type="dxa"/>
            </w:tcMar>
            <w:shd w:fill="FFFFFF"/>
          </w:tcPr>
          <w:p>
            <w:pPr>
              <w:spacing w:after="0"/>
            </w:pPr>
            <w:r/>
            <w:r>
              <w:rPr>
                <w:rFonts w:ascii="Aptos" w:hAnsi="Aptos"/>
                <w:b w:val="0"/>
                <w:color w:val="24313C"/>
                <w:sz w:val="17"/>
              </w:rPr>
              <w:t>C. Deliberate exclusion</w:t>
            </w:r>
          </w:p>
        </w:tc>
        <w:tc>
          <w:tcPr>
            <w:tcW w:type="dxa" w:w="4939"/>
            <w:vAlign w:val="center"/>
            <w:tcMar>
              <w:top w:w="110" w:type="dxa"/>
              <w:start w:w="110" w:type="dxa"/>
              <w:bottom w:w="110" w:type="dxa"/>
              <w:end w:w="110" w:type="dxa"/>
            </w:tcMar>
            <w:shd w:fill="FFFFFF"/>
          </w:tcPr>
          <w:p>
            <w:pPr>
              <w:spacing w:after="0"/>
            </w:pPr>
            <w:r/>
            <w:r>
              <w:rPr>
                <w:rFonts w:ascii="Aptos" w:hAnsi="Aptos"/>
                <w:b w:val="0"/>
                <w:color w:val="24313C"/>
                <w:sz w:val="17"/>
              </w:rPr>
              <w:t>Solving the complaint would push DRE into unnecessary product bloat or outside its intended scope.</w:t>
            </w:r>
          </w:p>
        </w:tc>
      </w:tr>
      <w:tr>
        <w:tc>
          <w:tcPr>
            <w:tcW w:type="dxa" w:w="4939"/>
            <w:vAlign w:val="center"/>
            <w:tcMar>
              <w:top w:w="110" w:type="dxa"/>
              <w:start w:w="110" w:type="dxa"/>
              <w:bottom w:w="110" w:type="dxa"/>
              <w:end w:w="110" w:type="dxa"/>
            </w:tcMar>
            <w:shd w:fill="F4F7F9"/>
          </w:tcPr>
          <w:p>
            <w:pPr>
              <w:spacing w:after="0"/>
            </w:pPr>
            <w:r/>
            <w:r>
              <w:rPr>
                <w:rFonts w:ascii="Aptos" w:hAnsi="Aptos"/>
                <w:b w:val="0"/>
                <w:color w:val="24313C"/>
                <w:sz w:val="17"/>
              </w:rPr>
              <w:t>D. UX requirement</w:t>
            </w:r>
          </w:p>
        </w:tc>
        <w:tc>
          <w:tcPr>
            <w:tcW w:type="dxa" w:w="4939"/>
            <w:vAlign w:val="center"/>
            <w:tcMar>
              <w:top w:w="110" w:type="dxa"/>
              <w:start w:w="110" w:type="dxa"/>
              <w:bottom w:w="110" w:type="dxa"/>
              <w:end w:w="110" w:type="dxa"/>
            </w:tcMar>
            <w:shd w:fill="F4F7F9"/>
          </w:tcPr>
          <w:p>
            <w:pPr>
              <w:spacing w:after="0"/>
            </w:pPr>
            <w:r/>
            <w:r>
              <w:rPr>
                <w:rFonts w:ascii="Aptos" w:hAnsi="Aptos"/>
                <w:b w:val="0"/>
                <w:color w:val="24313C"/>
                <w:sz w:val="17"/>
              </w:rPr>
              <w:t>The capability may already exist, but the customer experience makes it difficult to use or understand.</w:t>
            </w:r>
          </w:p>
        </w:tc>
      </w:tr>
      <w:tr>
        <w:tc>
          <w:tcPr>
            <w:tcW w:type="dxa" w:w="4939"/>
            <w:vAlign w:val="center"/>
            <w:tcMar>
              <w:top w:w="110" w:type="dxa"/>
              <w:start w:w="110" w:type="dxa"/>
              <w:bottom w:w="110" w:type="dxa"/>
              <w:end w:w="110" w:type="dxa"/>
            </w:tcMar>
            <w:shd w:fill="FFFFFF"/>
          </w:tcPr>
          <w:p>
            <w:pPr>
              <w:spacing w:after="0"/>
            </w:pPr>
            <w:r/>
            <w:r>
              <w:rPr>
                <w:rFonts w:ascii="Aptos" w:hAnsi="Aptos"/>
                <w:b w:val="0"/>
                <w:color w:val="24313C"/>
                <w:sz w:val="17"/>
              </w:rPr>
              <w:t>E. Non-product issue</w:t>
            </w:r>
          </w:p>
        </w:tc>
        <w:tc>
          <w:tcPr>
            <w:tcW w:type="dxa" w:w="4939"/>
            <w:vAlign w:val="center"/>
            <w:tcMar>
              <w:top w:w="110" w:type="dxa"/>
              <w:start w:w="110" w:type="dxa"/>
              <w:bottom w:w="110" w:type="dxa"/>
              <w:end w:w="110" w:type="dxa"/>
            </w:tcMar>
            <w:shd w:fill="FFFFFF"/>
          </w:tcPr>
          <w:p>
            <w:pPr>
              <w:spacing w:after="0"/>
            </w:pPr>
            <w:r/>
            <w:r>
              <w:rPr>
                <w:rFonts w:ascii="Aptos" w:hAnsi="Aptos"/>
                <w:b w:val="0"/>
                <w:color w:val="24313C"/>
                <w:sz w:val="17"/>
              </w:rPr>
              <w:t>The complaint may relate to pricing, procurement, implementation, support, organizational process, or another factor outside the software itself.</w:t>
            </w:r>
          </w:p>
        </w:tc>
      </w:tr>
    </w:tbl>
    <w:p/>
    <w:p>
      <w:r>
        <w:t>This classification helps DRE learn from customers without blindly reproducing the bloat customers already dislike in incumbent systems.</w:t>
      </w:r>
    </w:p>
    <w:p>
      <w:pPr>
        <w:pStyle w:val="Heading2"/>
      </w:pPr>
      <w:r>
        <w:t>10.15 Complaint-to-Counterpromise Model</w:t>
      </w:r>
    </w:p>
    <w:p>
      <w:r>
        <w:t>The market research direction establishes a direct relationship between customer pain and DRE’s product promise.</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WORKING METHOD</w:t>
              <w:br/>
            </w:r>
            <w:r>
              <w:t>Complaint → frequency/severity → underlying cause → DRE counterpromise → feasibility → product requirement or deliberate exclusion → evidence.</w:t>
            </w:r>
          </w:p>
        </w:tc>
      </w:tr>
    </w:tbl>
    <w:p/>
    <w:p>
      <w:r>
        <w:t>The strongest customer-facing promises should correspond to problems DRE is actually designed to solve.</w:t>
      </w:r>
    </w:p>
    <w:p>
      <w:pPr>
        <w:pStyle w:val="Heading2"/>
      </w:pPr>
      <w:r>
        <w:t>10.16 Existing Market Pain</w:t>
      </w:r>
    </w:p>
    <w:p>
      <w:r>
        <w:t>Current research has identified recurring legal-technology and billing-workflow complaints including:</w:t>
      </w:r>
    </w:p>
    <w:p>
      <w:pPr>
        <w:pStyle w:val="ListBullet"/>
        <w:spacing w:after="60"/>
        <w:ind w:left="360" w:hanging="230"/>
      </w:pPr>
      <w:r>
        <w:t>Excessive platform bloat</w:t>
      </w:r>
    </w:p>
    <w:p>
      <w:pPr>
        <w:pStyle w:val="ListBullet"/>
        <w:spacing w:after="60"/>
        <w:ind w:left="360" w:hanging="230"/>
      </w:pPr>
      <w:r>
        <w:t>Paying for functionality customers do not use</w:t>
      </w:r>
    </w:p>
    <w:p>
      <w:pPr>
        <w:pStyle w:val="ListBullet"/>
        <w:spacing w:after="60"/>
        <w:ind w:left="360" w:hanging="230"/>
      </w:pPr>
      <w:r>
        <w:t>Overlapping systems</w:t>
      </w:r>
    </w:p>
    <w:p>
      <w:pPr>
        <w:pStyle w:val="ListBullet"/>
        <w:spacing w:after="60"/>
        <w:ind w:left="360" w:hanging="230"/>
      </w:pPr>
      <w:r>
        <w:t>Manual billing-review effort</w:t>
      </w:r>
    </w:p>
    <w:p>
      <w:pPr>
        <w:pStyle w:val="ListBullet"/>
        <w:spacing w:after="60"/>
        <w:ind w:left="360" w:hanging="230"/>
      </w:pPr>
      <w:r>
        <w:t>Excessive clicks and administrative motion</w:t>
      </w:r>
    </w:p>
    <w:p>
      <w:pPr>
        <w:pStyle w:val="ListBullet"/>
        <w:spacing w:after="60"/>
        <w:ind w:left="360" w:hanging="230"/>
      </w:pPr>
      <w:r>
        <w:t>Difficult implementations</w:t>
      </w:r>
    </w:p>
    <w:p>
      <w:pPr>
        <w:pStyle w:val="ListBullet"/>
        <w:spacing w:after="60"/>
        <w:ind w:left="360" w:hanging="230"/>
      </w:pPr>
      <w:r>
        <w:t>Integration friction</w:t>
      </w:r>
    </w:p>
    <w:p>
      <w:pPr>
        <w:pStyle w:val="ListBullet"/>
        <w:spacing w:after="60"/>
        <w:ind w:left="360" w:hanging="230"/>
      </w:pPr>
      <w:r>
        <w:t>Inconsistent billing narratives</w:t>
      </w:r>
    </w:p>
    <w:p>
      <w:pPr>
        <w:pStyle w:val="ListBullet"/>
        <w:spacing w:after="60"/>
        <w:ind w:left="360" w:hanging="230"/>
      </w:pPr>
      <w:r>
        <w:t>Block billing</w:t>
      </w:r>
    </w:p>
    <w:p>
      <w:pPr>
        <w:pStyle w:val="ListBullet"/>
        <w:spacing w:after="60"/>
        <w:ind w:left="360" w:hanging="230"/>
      </w:pPr>
      <w:r>
        <w:t>Vague billing descriptions</w:t>
      </w:r>
    </w:p>
    <w:p>
      <w:pPr>
        <w:pStyle w:val="ListBullet"/>
        <w:spacing w:after="60"/>
        <w:ind w:left="360" w:hanging="230"/>
      </w:pPr>
      <w:r>
        <w:t>Billing-guideline enforcement difficulty</w:t>
      </w:r>
    </w:p>
    <w:p>
      <w:pPr>
        <w:pStyle w:val="ListBullet"/>
        <w:spacing w:after="60"/>
        <w:ind w:left="360" w:hanging="230"/>
      </w:pPr>
      <w:r>
        <w:t>Difficult search and workflow behavior in incumbent systems</w:t>
      </w:r>
    </w:p>
    <w:p>
      <w:pPr>
        <w:pStyle w:val="ListBullet"/>
        <w:spacing w:after="60"/>
        <w:ind w:left="360" w:hanging="230"/>
      </w:pPr>
      <w:r>
        <w:t>Subscription and cost frustration</w:t>
      </w:r>
    </w:p>
    <w:p>
      <w:pPr>
        <w:pStyle w:val="ListBullet"/>
        <w:spacing w:after="60"/>
        <w:ind w:left="360" w:hanging="230"/>
      </w:pPr>
      <w:r>
        <w:t>Manual month-end work</w:t>
      </w:r>
    </w:p>
    <w:p>
      <w:pPr>
        <w:pStyle w:val="ListBullet"/>
        <w:spacing w:after="60"/>
        <w:ind w:left="360" w:hanging="230"/>
      </w:pPr>
      <w:r>
        <w:t>Lost time</w:t>
      </w:r>
    </w:p>
    <w:p>
      <w:pPr>
        <w:pStyle w:val="ListBullet"/>
        <w:spacing w:after="60"/>
        <w:ind w:left="360" w:hanging="230"/>
      </w:pPr>
      <w:r>
        <w:t>Need for specialized billing review without adopting an entire replacement platform</w:t>
      </w:r>
    </w:p>
    <w:p>
      <w:pPr>
        <w:pStyle w:val="Heading2"/>
      </w:pPr>
      <w:r>
        <w:t>10.17 Jobs-to-Be-Done Validation</w:t>
      </w:r>
    </w:p>
    <w:p>
      <w:r>
        <w:t>DRE’s market research has also framed the legal-billing workflow as a sequence of jobs the customer is trying to accomplish.</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LEGAL-BILLING JOB CHAIN</w:t>
              <w:br/>
            </w:r>
            <w:r>
              <w:t>Receive → verify structure → associate matter/client/policy → determine allowable work → detect exceptions → understand the exception → disposition it → communicate adjustment → approve → export/pay → preserve evidence → measure patterns.</w:t>
            </w:r>
          </w:p>
        </w:tc>
      </w:tr>
    </w:tbl>
    <w:p/>
    <w:p>
      <w:pPr>
        <w:pStyle w:val="ListBullet"/>
        <w:spacing w:after="60"/>
        <w:ind w:left="360" w:hanging="230"/>
      </w:pPr>
      <w:r>
        <w:t>Which jobs create the most pain</w:t>
      </w:r>
    </w:p>
    <w:p>
      <w:pPr>
        <w:pStyle w:val="ListBullet"/>
        <w:spacing w:after="60"/>
        <w:ind w:left="360" w:hanging="230"/>
      </w:pPr>
      <w:r>
        <w:t>Which DRE should perform directly</w:t>
      </w:r>
    </w:p>
    <w:p>
      <w:pPr>
        <w:pStyle w:val="ListBullet"/>
        <w:spacing w:after="60"/>
        <w:ind w:left="360" w:hanging="230"/>
      </w:pPr>
      <w:r>
        <w:t>Which should remain with existing systems</w:t>
      </w:r>
    </w:p>
    <w:p>
      <w:pPr>
        <w:pStyle w:val="ListBullet"/>
        <w:spacing w:after="60"/>
        <w:ind w:left="360" w:hanging="230"/>
      </w:pPr>
      <w:r>
        <w:t>Where DRE should integrate or hand off</w:t>
      </w:r>
    </w:p>
    <w:p>
      <w:pPr>
        <w:pStyle w:val="ListBullet"/>
        <w:spacing w:after="60"/>
        <w:ind w:left="360" w:hanging="230"/>
      </w:pPr>
      <w:r>
        <w:t>Which jobs require human authority</w:t>
      </w:r>
    </w:p>
    <w:p>
      <w:pPr>
        <w:pStyle w:val="ListBullet"/>
        <w:spacing w:after="60"/>
        <w:ind w:left="360" w:hanging="230"/>
      </w:pPr>
      <w:r>
        <w:t>Which jobs customers actively want removed from their workload</w:t>
      </w:r>
    </w:p>
    <w:p>
      <w:pPr>
        <w:pStyle w:val="Heading2"/>
      </w:pPr>
      <w:r>
        <w:t>10.18 Reddit Validation</w:t>
      </w:r>
    </w:p>
    <w:p>
      <w:r>
        <w:t>Reddit can provide both customer-language research and access to potential evaluators.</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USEFUL VALIDATION CYCLE</w:t>
              <w:br/>
            </w:r>
            <w:r>
              <w:t>Present the problem clearly → invite people to try the working demo → observe use → ask for feedback → capture recurring concerns → improve DRE.</w:t>
            </w:r>
          </w:p>
        </w:tc>
      </w:tr>
    </w:tbl>
    <w:p/>
    <w:p>
      <w:r>
        <w:t>Individual comments should be treated as observations rather than universal market facts.</w:t>
      </w:r>
    </w:p>
    <w:p>
      <w:r>
        <w:t>Recurring patterns across relevant users and sources carry greater weight.</w:t>
      </w:r>
    </w:p>
    <w:p>
      <w:pPr>
        <w:pStyle w:val="Heading2"/>
      </w:pPr>
      <w:r>
        <w:t>10.19 Legal-Operations Outreach</w:t>
      </w:r>
    </w:p>
    <w:p>
      <w:r>
        <w:t>Direct outreach to legal-operations professionals provides a more targeted validation channel.</w:t>
      </w:r>
    </w:p>
    <w:p>
      <w:pPr>
        <w:pStyle w:val="ListBullet"/>
        <w:spacing w:after="60"/>
        <w:ind w:left="360" w:hanging="230"/>
      </w:pPr>
      <w:r>
        <w:t>Outside-counsel billing</w:t>
      </w:r>
    </w:p>
    <w:p>
      <w:pPr>
        <w:pStyle w:val="ListBullet"/>
        <w:spacing w:after="60"/>
        <w:ind w:left="360" w:hanging="230"/>
      </w:pPr>
      <w:r>
        <w:t>OCG enforcement</w:t>
      </w:r>
    </w:p>
    <w:p>
      <w:pPr>
        <w:pStyle w:val="ListBullet"/>
        <w:spacing w:after="60"/>
        <w:ind w:left="360" w:hanging="230"/>
      </w:pPr>
      <w:r>
        <w:t>Invoice review</w:t>
      </w:r>
    </w:p>
    <w:p>
      <w:pPr>
        <w:pStyle w:val="ListBullet"/>
        <w:spacing w:after="60"/>
        <w:ind w:left="360" w:hanging="230"/>
      </w:pPr>
      <w:r>
        <w:t>Legal operations</w:t>
      </w:r>
    </w:p>
    <w:p>
      <w:pPr>
        <w:pStyle w:val="ListBullet"/>
        <w:spacing w:after="60"/>
        <w:ind w:left="360" w:hanging="230"/>
      </w:pPr>
      <w:r>
        <w:t>Billing exceptions</w:t>
      </w:r>
    </w:p>
    <w:p>
      <w:pPr>
        <w:pStyle w:val="ListBullet"/>
        <w:spacing w:after="60"/>
        <w:ind w:left="360" w:hanging="230"/>
      </w:pPr>
      <w:r>
        <w:t>Existing e-billing systems</w:t>
      </w:r>
    </w:p>
    <w:p>
      <w:pPr>
        <w:pStyle w:val="ListBullet"/>
        <w:spacing w:after="60"/>
        <w:ind w:left="360" w:hanging="230"/>
      </w:pPr>
      <w:r>
        <w:t>Enterprise workflow constraints</w:t>
      </w:r>
    </w:p>
    <w:p>
      <w:pPr>
        <w:pStyle w:val="Heading2"/>
      </w:pPr>
      <w:r>
        <w:t>10.20 Design-Partner Evidence</w:t>
      </w:r>
    </w:p>
    <w:p>
      <w:r>
        <w:t>A design partner represents a stronger validation stage.</w:t>
      </w:r>
    </w:p>
    <w:p>
      <w:pPr>
        <w:pStyle w:val="ListBullet"/>
        <w:spacing w:after="60"/>
        <w:ind w:left="360" w:hanging="230"/>
      </w:pPr>
      <w:r>
        <w:t>Product evaluation</w:t>
      </w:r>
    </w:p>
    <w:p>
      <w:pPr>
        <w:pStyle w:val="ListBullet"/>
        <w:spacing w:after="60"/>
        <w:ind w:left="360" w:hanging="230"/>
      </w:pPr>
      <w:r>
        <w:t>Workflow discussion</w:t>
      </w:r>
    </w:p>
    <w:p>
      <w:pPr>
        <w:pStyle w:val="ListBullet"/>
        <w:spacing w:after="60"/>
        <w:ind w:left="360" w:hanging="230"/>
      </w:pPr>
      <w:r>
        <w:t>OCG examples</w:t>
      </w:r>
    </w:p>
    <w:p>
      <w:pPr>
        <w:pStyle w:val="ListBullet"/>
        <w:spacing w:after="60"/>
        <w:ind w:left="360" w:hanging="230"/>
      </w:pPr>
      <w:r>
        <w:t>Billing-format requirements</w:t>
      </w:r>
    </w:p>
    <w:p>
      <w:pPr>
        <w:pStyle w:val="ListBullet"/>
        <w:spacing w:after="60"/>
        <w:ind w:left="360" w:hanging="230"/>
      </w:pPr>
      <w:r>
        <w:t>Security requirements</w:t>
      </w:r>
    </w:p>
    <w:p>
      <w:pPr>
        <w:pStyle w:val="ListBullet"/>
        <w:spacing w:after="60"/>
        <w:ind w:left="360" w:hanging="230"/>
      </w:pPr>
      <w:r>
        <w:t>Deployment requirements</w:t>
      </w:r>
    </w:p>
    <w:p>
      <w:pPr>
        <w:pStyle w:val="ListBullet"/>
        <w:spacing w:after="60"/>
        <w:ind w:left="360" w:hanging="230"/>
      </w:pPr>
      <w:r>
        <w:t>Procurement questions</w:t>
      </w:r>
    </w:p>
    <w:p>
      <w:pPr>
        <w:pStyle w:val="ListBullet"/>
        <w:spacing w:after="60"/>
        <w:ind w:left="360" w:hanging="230"/>
      </w:pPr>
      <w:r>
        <w:t>Feedback sessions</w:t>
      </w:r>
    </w:p>
    <w:p>
      <w:pPr>
        <w:pStyle w:val="ListBullet"/>
        <w:spacing w:after="60"/>
        <w:ind w:left="360" w:hanging="230"/>
      </w:pPr>
      <w:r>
        <w:t>Pilot interest</w:t>
      </w:r>
    </w:p>
    <w:p>
      <w:pPr>
        <w:pStyle w:val="ListBullet"/>
        <w:spacing w:after="60"/>
        <w:ind w:left="360" w:hanging="230"/>
      </w:pPr>
      <w:r>
        <w:t>Commercial commitment</w:t>
      </w:r>
    </w:p>
    <w:p>
      <w:pPr>
        <w:pStyle w:val="Heading2"/>
      </w:pPr>
      <w:r>
        <w:t>10.21 Customer Evidence</w:t>
      </w:r>
    </w:p>
    <w:p>
      <w:r>
        <w:t>Once DRE begins working with actual customers, evidence becomes substantially stronger.</w:t>
      </w:r>
    </w:p>
    <w:p>
      <w:pPr>
        <w:pStyle w:val="ListBullet"/>
        <w:spacing w:after="60"/>
        <w:ind w:left="360" w:hanging="230"/>
      </w:pPr>
      <w:r>
        <w:t>Customer commitment</w:t>
      </w:r>
    </w:p>
    <w:p>
      <w:pPr>
        <w:pStyle w:val="ListBullet"/>
        <w:spacing w:after="60"/>
        <w:ind w:left="360" w:hanging="230"/>
      </w:pPr>
      <w:r>
        <w:t>Deployment activity</w:t>
      </w:r>
    </w:p>
    <w:p>
      <w:pPr>
        <w:pStyle w:val="ListBullet"/>
        <w:spacing w:after="60"/>
        <w:ind w:left="360" w:hanging="230"/>
      </w:pPr>
      <w:r>
        <w:t>Real billing volume</w:t>
      </w:r>
    </w:p>
    <w:p>
      <w:pPr>
        <w:pStyle w:val="ListBullet"/>
        <w:spacing w:after="60"/>
        <w:ind w:left="360" w:hanging="230"/>
      </w:pPr>
      <w:r>
        <w:t>Real exception patterns</w:t>
      </w:r>
    </w:p>
    <w:p>
      <w:pPr>
        <w:pStyle w:val="ListBullet"/>
        <w:spacing w:after="60"/>
        <w:ind w:left="360" w:hanging="230"/>
      </w:pPr>
      <w:r>
        <w:t>Human-review volume</w:t>
      </w:r>
    </w:p>
    <w:p>
      <w:pPr>
        <w:pStyle w:val="ListBullet"/>
        <w:spacing w:after="60"/>
        <w:ind w:left="360" w:hanging="230"/>
      </w:pPr>
      <w:r>
        <w:t>Customer overrides</w:t>
      </w:r>
    </w:p>
    <w:p>
      <w:pPr>
        <w:pStyle w:val="ListBullet"/>
        <w:spacing w:after="60"/>
        <w:ind w:left="360" w:hanging="230"/>
      </w:pPr>
      <w:r>
        <w:t>Processing time</w:t>
      </w:r>
    </w:p>
    <w:p>
      <w:pPr>
        <w:pStyle w:val="ListBullet"/>
        <w:spacing w:after="60"/>
        <w:ind w:left="360" w:hanging="230"/>
      </w:pPr>
      <w:r>
        <w:t>Customer feedback</w:t>
      </w:r>
    </w:p>
    <w:p>
      <w:pPr>
        <w:pStyle w:val="ListBullet"/>
        <w:spacing w:after="60"/>
        <w:ind w:left="360" w:hanging="230"/>
      </w:pPr>
      <w:r>
        <w:t>Operational adoption</w:t>
      </w:r>
    </w:p>
    <w:p>
      <w:pPr>
        <w:pStyle w:val="ListBullet"/>
        <w:spacing w:after="60"/>
        <w:ind w:left="360" w:hanging="230"/>
      </w:pPr>
      <w:r>
        <w:t>Renewal/continued use</w:t>
      </w:r>
    </w:p>
    <w:p>
      <w:pPr>
        <w:pStyle w:val="ListBullet"/>
        <w:spacing w:after="60"/>
        <w:ind w:left="360" w:hanging="230"/>
      </w:pPr>
      <w:r>
        <w:t>Authorized financial outcomes</w:t>
      </w:r>
    </w:p>
    <w:p>
      <w:pPr>
        <w:pStyle w:val="Heading2"/>
      </w:pPr>
      <w:r>
        <w:t>10.22 Financial Evidence</w:t>
      </w:r>
    </w:p>
    <w:p>
      <w:r>
        <w:t>DRE should maintain strict financial evidence discipline throughout market validation.</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FINANCIAL EVIDENCE PROGRESSION</w:t>
              <w:br/>
            </w:r>
            <w:r>
              <w:t>Calculated difference → proposed adjustment → authorized adjustment → realized outcome.</w:t>
            </w:r>
          </w:p>
        </w:tc>
      </w:tr>
    </w:tbl>
    <w:p/>
    <w:p>
      <w:r>
        <w:t>A synthetic demonstration can prove that DRE calculated a difference.</w:t>
      </w:r>
    </w:p>
    <w:p>
      <w:r>
        <w:t>A customer evaluation may establish that DRE identified a proposed adjustment.</w:t>
      </w:r>
    </w:p>
    <w:p>
      <w:r>
        <w:t>An authorized reviewer may approve or reject that adjustment.</w:t>
      </w:r>
    </w:p>
    <w:p>
      <w:r>
        <w:t>Only later evidence can establish what financial result actually occurred.</w:t>
      </w:r>
    </w:p>
    <w:p>
      <w:pPr>
        <w:pStyle w:val="Heading2"/>
      </w:pPr>
      <w:r>
        <w:t>10.23 Human-Override Evidence</w:t>
      </w:r>
    </w:p>
    <w:p>
      <w:r>
        <w:t>Human disagreement with DRE is valuable product evidence.</w:t>
      </w:r>
    </w:p>
    <w:p>
      <w:pPr>
        <w:pStyle w:val="ListBullet"/>
        <w:spacing w:after="60"/>
        <w:ind w:left="360" w:hanging="230"/>
      </w:pPr>
      <w:r>
        <w:t>Agree with DRE</w:t>
      </w:r>
    </w:p>
    <w:p>
      <w:pPr>
        <w:pStyle w:val="ListBullet"/>
        <w:spacing w:after="60"/>
        <w:ind w:left="360" w:hanging="230"/>
      </w:pPr>
      <w:r>
        <w:t>Modify DRE’s recommendation</w:t>
      </w:r>
    </w:p>
    <w:p>
      <w:pPr>
        <w:pStyle w:val="ListBullet"/>
        <w:spacing w:after="60"/>
        <w:ind w:left="360" w:hanging="230"/>
      </w:pPr>
      <w:r>
        <w:t>Reject DRE’s recommendation</w:t>
      </w:r>
    </w:p>
    <w:p>
      <w:pPr>
        <w:pStyle w:val="ListBullet"/>
        <w:spacing w:after="60"/>
        <w:ind w:left="360" w:hanging="230"/>
      </w:pPr>
      <w:r>
        <w:t>Request additional information</w:t>
      </w:r>
    </w:p>
    <w:p>
      <w:pPr>
        <w:pStyle w:val="ListBullet"/>
        <w:spacing w:after="60"/>
        <w:ind w:left="360" w:hanging="230"/>
      </w:pPr>
      <w:r>
        <w:t>Apply an exception</w:t>
      </w:r>
    </w:p>
    <w:p>
      <w:pPr>
        <w:pStyle w:val="ListBullet"/>
        <w:spacing w:after="60"/>
        <w:ind w:left="360" w:hanging="230"/>
      </w:pPr>
      <w:r>
        <w:t>Identify a missing rule</w:t>
      </w:r>
    </w:p>
    <w:p>
      <w:pPr>
        <w:pStyle w:val="ListBullet"/>
        <w:spacing w:after="60"/>
        <w:ind w:left="360" w:hanging="230"/>
      </w:pPr>
      <w:r>
        <w:t>Identify an incorrect rule</w:t>
      </w:r>
    </w:p>
    <w:p>
      <w:pPr>
        <w:pStyle w:val="ListBullet"/>
        <w:spacing w:after="60"/>
        <w:ind w:left="360" w:hanging="230"/>
      </w:pPr>
      <w:r>
        <w:t>Identify inadequate semantic interpretation</w:t>
      </w:r>
    </w:p>
    <w:p>
      <w:pPr>
        <w:pStyle w:val="Heading2"/>
      </w:pPr>
      <w:r>
        <w:t>10.24 Consensus Evidence</w:t>
      </w:r>
    </w:p>
    <w:p>
      <w:r>
        <w:t>As real evaluator/customer data becomes available under the appropriate deployment conditions, DRE can begin measuring consensus behavior.</w:t>
      </w:r>
    </w:p>
    <w:p>
      <w:pPr>
        <w:pStyle w:val="ListBullet"/>
        <w:spacing w:after="60"/>
        <w:ind w:left="360" w:hanging="230"/>
      </w:pPr>
      <w:r>
        <w:t>Transactions sent to consensus</w:t>
      </w:r>
    </w:p>
    <w:p>
      <w:pPr>
        <w:pStyle w:val="ListBullet"/>
        <w:spacing w:after="60"/>
        <w:ind w:left="360" w:hanging="230"/>
      </w:pPr>
      <w:r>
        <w:t>Agent agreement</w:t>
      </w:r>
    </w:p>
    <w:p>
      <w:pPr>
        <w:pStyle w:val="ListBullet"/>
        <w:spacing w:after="60"/>
        <w:ind w:left="360" w:hanging="230"/>
      </w:pPr>
      <w:r>
        <w:t>Agent disagreement</w:t>
      </w:r>
    </w:p>
    <w:p>
      <w:pPr>
        <w:pStyle w:val="ListBullet"/>
        <w:spacing w:after="60"/>
        <w:ind w:left="360" w:hanging="230"/>
      </w:pPr>
      <w:r>
        <w:t>Referee result</w:t>
      </w:r>
    </w:p>
    <w:p>
      <w:pPr>
        <w:pStyle w:val="ListBullet"/>
        <w:spacing w:after="60"/>
        <w:ind w:left="360" w:hanging="230"/>
      </w:pPr>
      <w:r>
        <w:t>Human-review escalation</w:t>
      </w:r>
    </w:p>
    <w:p>
      <w:pPr>
        <w:pStyle w:val="ListBullet"/>
        <w:spacing w:after="60"/>
        <w:ind w:left="360" w:hanging="230"/>
      </w:pPr>
      <w:r>
        <w:t>Human agreement with automated result</w:t>
      </w:r>
    </w:p>
    <w:p>
      <w:pPr>
        <w:pStyle w:val="ListBullet"/>
        <w:spacing w:after="60"/>
        <w:ind w:left="360" w:hanging="230"/>
      </w:pPr>
      <w:r>
        <w:t>Human override</w:t>
      </w:r>
    </w:p>
    <w:p>
      <w:pPr>
        <w:pStyle w:val="ListBullet"/>
        <w:spacing w:after="60"/>
        <w:ind w:left="360" w:hanging="230"/>
      </w:pPr>
      <w:r>
        <w:t>Exception type</w:t>
      </w:r>
    </w:p>
    <w:p>
      <w:pPr>
        <w:pStyle w:val="ListBullet"/>
        <w:spacing w:after="60"/>
        <w:ind w:left="360" w:hanging="230"/>
      </w:pPr>
      <w:r>
        <w:t>Repeated disagreement patterns</w:t>
      </w:r>
    </w:p>
    <w:p>
      <w:pPr>
        <w:pStyle w:val="Heading2"/>
      </w:pPr>
      <w:r>
        <w:t>10.25 Deterministic-Rule Evidence</w:t>
      </w:r>
    </w:p>
    <w:p>
      <w:r>
        <w:t>The same learning loop applies to deterministic rules.</w:t>
      </w:r>
    </w:p>
    <w:p>
      <w:pPr>
        <w:pStyle w:val="ListBullet"/>
        <w:spacing w:after="60"/>
        <w:ind w:left="360" w:hanging="230"/>
      </w:pPr>
      <w:r>
        <w:t>Rules that fire correctly</w:t>
      </w:r>
    </w:p>
    <w:p>
      <w:pPr>
        <w:pStyle w:val="ListBullet"/>
        <w:spacing w:after="60"/>
        <w:ind w:left="360" w:hanging="230"/>
      </w:pPr>
      <w:r>
        <w:t>Rules that fire too broadly</w:t>
      </w:r>
    </w:p>
    <w:p>
      <w:pPr>
        <w:pStyle w:val="ListBullet"/>
        <w:spacing w:after="60"/>
        <w:ind w:left="360" w:hanging="230"/>
      </w:pPr>
      <w:r>
        <w:t>Rules that miss obvious violations</w:t>
      </w:r>
    </w:p>
    <w:p>
      <w:pPr>
        <w:pStyle w:val="ListBullet"/>
        <w:spacing w:after="60"/>
        <w:ind w:left="360" w:hanging="230"/>
      </w:pPr>
      <w:r>
        <w:t>Rules requiring matter-specific context</w:t>
      </w:r>
    </w:p>
    <w:p>
      <w:pPr>
        <w:pStyle w:val="ListBullet"/>
        <w:spacing w:after="60"/>
        <w:ind w:left="360" w:hanging="230"/>
      </w:pPr>
      <w:r>
        <w:t>Rules that cannot be deterministic</w:t>
      </w:r>
    </w:p>
    <w:p>
      <w:pPr>
        <w:pStyle w:val="ListBullet"/>
        <w:spacing w:after="60"/>
        <w:ind w:left="360" w:hanging="230"/>
      </w:pPr>
      <w:r>
        <w:t>Authorized exceptions</w:t>
      </w:r>
    </w:p>
    <w:p>
      <w:pPr>
        <w:pStyle w:val="ListBullet"/>
        <w:spacing w:after="60"/>
        <w:ind w:left="360" w:hanging="230"/>
      </w:pPr>
      <w:r>
        <w:t>OCG language that varies substantially by customer</w:t>
      </w:r>
    </w:p>
    <w:p>
      <w:pPr>
        <w:pStyle w:val="ListBullet"/>
        <w:spacing w:after="60"/>
        <w:ind w:left="360" w:hanging="230"/>
      </w:pPr>
      <w:r>
        <w:t>Policy conditions requiring external information</w:t>
      </w:r>
    </w:p>
    <w:p>
      <w:pPr>
        <w:pStyle w:val="Heading2"/>
      </w:pPr>
      <w:r>
        <w:t>10.26 Product-Boundary Validation</w:t>
      </w:r>
    </w:p>
    <w:p>
      <w:r>
        <w:t>Market validation is also a way to determine what DRE should not become.</w:t>
      </w:r>
    </w:p>
    <w:p>
      <w:pPr>
        <w:pStyle w:val="ListBullet"/>
        <w:spacing w:after="60"/>
        <w:ind w:left="360" w:hanging="230"/>
      </w:pPr>
      <w:r>
        <w:t>CRM functionality</w:t>
      </w:r>
    </w:p>
    <w:p>
      <w:pPr>
        <w:pStyle w:val="ListBullet"/>
        <w:spacing w:after="60"/>
        <w:ind w:left="360" w:hanging="230"/>
      </w:pPr>
      <w:r>
        <w:t>Matter management</w:t>
      </w:r>
    </w:p>
    <w:p>
      <w:pPr>
        <w:pStyle w:val="ListBullet"/>
        <w:spacing w:after="60"/>
        <w:ind w:left="360" w:hanging="230"/>
      </w:pPr>
      <w:r>
        <w:t>Document management</w:t>
      </w:r>
    </w:p>
    <w:p>
      <w:pPr>
        <w:pStyle w:val="ListBullet"/>
        <w:spacing w:after="60"/>
        <w:ind w:left="360" w:hanging="230"/>
      </w:pPr>
      <w:r>
        <w:t>Accounting</w:t>
      </w:r>
    </w:p>
    <w:p>
      <w:pPr>
        <w:pStyle w:val="ListBullet"/>
        <w:spacing w:after="60"/>
        <w:ind w:left="360" w:hanging="230"/>
      </w:pPr>
      <w:r>
        <w:t>Timekeeping</w:t>
      </w:r>
    </w:p>
    <w:p>
      <w:pPr>
        <w:pStyle w:val="ListBullet"/>
        <w:spacing w:after="60"/>
        <w:ind w:left="360" w:hanging="230"/>
      </w:pPr>
      <w:r>
        <w:t>Trust accounting</w:t>
      </w:r>
    </w:p>
    <w:p>
      <w:pPr>
        <w:pStyle w:val="ListBullet"/>
        <w:spacing w:after="60"/>
        <w:ind w:left="360" w:hanging="230"/>
      </w:pPr>
      <w:r>
        <w:t>Full legal-practice management</w:t>
      </w:r>
    </w:p>
    <w:p>
      <w:pPr>
        <w:pStyle w:val="ListBullet"/>
        <w:spacing w:after="60"/>
        <w:ind w:left="360" w:hanging="230"/>
      </w:pPr>
      <w:r>
        <w:t>Other adjacent capabilities</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PRODUCT-BOUNDARY QUESTION</w:t>
              <w:br/>
            </w:r>
            <w:r>
              <w:t>Does this materially improve DRE’s legal-billing review function, or does it turn DRE into the kind of bloated platform the product was designed to avoid?</w:t>
            </w:r>
          </w:p>
        </w:tc>
      </w:tr>
    </w:tbl>
    <w:p/>
    <w:p>
      <w:pPr>
        <w:pStyle w:val="Heading2"/>
      </w:pPr>
      <w:r>
        <w:t>10.27 Switching-Friction Evidence</w:t>
      </w:r>
    </w:p>
    <w:p>
      <w:r>
        <w:t>One of DRE’s major hypotheses is that customers will value a product that works alongside their existing systems rather than requiring a wholesale platform replacement.</w:t>
      </w:r>
    </w:p>
    <w:p>
      <w:pPr>
        <w:pStyle w:val="ListBullet"/>
        <w:spacing w:after="60"/>
        <w:ind w:left="360" w:hanging="230"/>
      </w:pPr>
      <w:r>
        <w:t>Would the organization consider adding a specialized review layer?</w:t>
      </w:r>
    </w:p>
    <w:p>
      <w:pPr>
        <w:pStyle w:val="ListBullet"/>
        <w:spacing w:after="60"/>
        <w:ind w:left="360" w:hanging="230"/>
      </w:pPr>
      <w:r>
        <w:t>What existing billing system must remain?</w:t>
      </w:r>
    </w:p>
    <w:p>
      <w:pPr>
        <w:pStyle w:val="ListBullet"/>
        <w:spacing w:after="60"/>
        <w:ind w:left="360" w:hanging="230"/>
      </w:pPr>
      <w:r>
        <w:t>What output would DRE need to return?</w:t>
      </w:r>
    </w:p>
    <w:p>
      <w:pPr>
        <w:pStyle w:val="ListBullet"/>
        <w:spacing w:after="60"/>
        <w:ind w:left="360" w:hanging="230"/>
      </w:pPr>
      <w:r>
        <w:t>Which integrations are actually required?</w:t>
      </w:r>
    </w:p>
    <w:p>
      <w:pPr>
        <w:pStyle w:val="ListBullet"/>
        <w:spacing w:after="60"/>
        <w:ind w:left="360" w:hanging="230"/>
      </w:pPr>
      <w:r>
        <w:t>What implementation burden would stop adoption?</w:t>
      </w:r>
    </w:p>
    <w:p>
      <w:pPr>
        <w:pStyle w:val="ListBullet"/>
        <w:spacing w:after="60"/>
        <w:ind w:left="360" w:hanging="230"/>
      </w:pPr>
      <w:r>
        <w:t>What procurement/security review would be necessary?</w:t>
      </w:r>
    </w:p>
    <w:p>
      <w:pPr>
        <w:pStyle w:val="ListBullet"/>
        <w:spacing w:after="60"/>
        <w:ind w:left="360" w:hanging="230"/>
      </w:pPr>
      <w:r>
        <w:t>What data would the customer permit DRE to process?</w:t>
      </w:r>
    </w:p>
    <w:p>
      <w:pPr>
        <w:pStyle w:val="ListBullet"/>
        <w:spacing w:after="60"/>
        <w:ind w:left="360" w:hanging="230"/>
      </w:pPr>
      <w:r>
        <w:t>What would make deployment feel too disruptive?</w:t>
      </w:r>
    </w:p>
    <w:p>
      <w:pPr>
        <w:pStyle w:val="Heading2"/>
      </w:pPr>
      <w:r>
        <w:t>10.28 Customer Language</w:t>
      </w:r>
    </w:p>
    <w:p>
      <w:r>
        <w:t>Market validation should preserve the language customers use to describe their own problems.</w:t>
      </w:r>
    </w:p>
    <w:p>
      <w:pPr>
        <w:pStyle w:val="ListBullet"/>
        <w:spacing w:after="60"/>
        <w:ind w:left="360" w:hanging="230"/>
      </w:pPr>
      <w:r>
        <w:t>Website messaging</w:t>
      </w:r>
    </w:p>
    <w:p>
      <w:pPr>
        <w:pStyle w:val="ListBullet"/>
        <w:spacing w:after="60"/>
        <w:ind w:left="360" w:hanging="230"/>
      </w:pPr>
      <w:r>
        <w:t>Product terminology</w:t>
      </w:r>
    </w:p>
    <w:p>
      <w:pPr>
        <w:pStyle w:val="ListBullet"/>
        <w:spacing w:after="60"/>
        <w:ind w:left="360" w:hanging="230"/>
      </w:pPr>
      <w:r>
        <w:t>Demonstration labels</w:t>
      </w:r>
    </w:p>
    <w:p>
      <w:pPr>
        <w:pStyle w:val="ListBullet"/>
        <w:spacing w:after="60"/>
        <w:ind w:left="360" w:hanging="230"/>
      </w:pPr>
      <w:r>
        <w:t>Sales conversations</w:t>
      </w:r>
    </w:p>
    <w:p>
      <w:pPr>
        <w:pStyle w:val="ListBullet"/>
        <w:spacing w:after="60"/>
        <w:ind w:left="360" w:hanging="230"/>
      </w:pPr>
      <w:r>
        <w:t>Documentation</w:t>
      </w:r>
    </w:p>
    <w:p>
      <w:pPr>
        <w:pStyle w:val="ListBullet"/>
        <w:spacing w:after="60"/>
        <w:ind w:left="360" w:hanging="230"/>
      </w:pPr>
      <w:r>
        <w:t>Product requirements</w:t>
      </w:r>
    </w:p>
    <w:p>
      <w:pPr>
        <w:pStyle w:val="Heading2"/>
      </w:pPr>
      <w:r>
        <w:t>10.29 Evidence Hierarchy</w:t>
      </w:r>
    </w:p>
    <w:p>
      <w:r>
        <w:t>DRE’s research methodology uses an evidence hierarchy.</w:t>
      </w:r>
    </w:p>
    <w:p>
      <w:pPr>
        <w:pStyle w:val="ListBullet"/>
        <w:spacing w:after="60"/>
        <w:ind w:left="360" w:hanging="230"/>
      </w:pPr>
      <w:r>
        <w:t>Observed behavior</w:t>
      </w:r>
    </w:p>
    <w:p>
      <w:pPr>
        <w:pStyle w:val="ListBullet"/>
        <w:spacing w:after="60"/>
        <w:ind w:left="360" w:hanging="230"/>
      </w:pPr>
      <w:r>
        <w:t>Primary customer/product records</w:t>
      </w:r>
    </w:p>
    <w:p>
      <w:pPr>
        <w:pStyle w:val="ListBullet"/>
        <w:spacing w:after="60"/>
        <w:ind w:left="360" w:hanging="230"/>
      </w:pPr>
      <w:r>
        <w:t>Aggregated customer evidence</w:t>
      </w:r>
    </w:p>
    <w:p>
      <w:pPr>
        <w:pStyle w:val="ListBullet"/>
        <w:spacing w:after="60"/>
        <w:ind w:left="360" w:hanging="230"/>
      </w:pPr>
      <w:r>
        <w:t>Independent market evidence</w:t>
      </w:r>
    </w:p>
    <w:p>
      <w:pPr>
        <w:pStyle w:val="ListBullet"/>
        <w:spacing w:after="60"/>
        <w:ind w:left="360" w:hanging="230"/>
      </w:pPr>
      <w:r>
        <w:t>Vendor marketing claims</w:t>
      </w:r>
    </w:p>
    <w:p>
      <w:pPr>
        <w:pStyle w:val="ListBullet"/>
        <w:spacing w:after="60"/>
        <w:ind w:left="360" w:hanging="230"/>
      </w:pPr>
      <w:r>
        <w:t>Inference</w:t>
      </w:r>
    </w:p>
    <w:p>
      <w:pPr>
        <w:pStyle w:val="Heading2"/>
      </w:pPr>
      <w:r>
        <w:t>10.30 Product-Learning Loop</w:t>
      </w:r>
    </w:p>
    <w:p>
      <w:r>
        <w:t>The intended DRE learning loop is:</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CONTROLLED LEARNING LOOP</w:t>
              <w:br/>
            </w:r>
            <w:r>
              <w:t>Research → evidence → synthesis → discussion → product decision → implementation → demonstration/use → new evidence → refinement.</w:t>
            </w:r>
          </w:p>
        </w:tc>
      </w:tr>
    </w:tbl>
    <w:p/>
    <w:p>
      <w:pPr>
        <w:pStyle w:val="Heading2"/>
      </w:pPr>
      <w:r>
        <w:t>10.31 Evidence for Investors</w:t>
      </w:r>
    </w:p>
    <w:p>
      <w:r>
        <w:t>Market validation also strengthens DRE’s investor case.</w:t>
      </w:r>
    </w:p>
    <w:p>
      <w:pPr>
        <w:pStyle w:val="ListBullet"/>
        <w:spacing w:after="60"/>
        <w:ind w:left="360" w:hanging="230"/>
      </w:pPr>
      <w:r>
        <w:t>Working product</w:t>
      </w:r>
    </w:p>
    <w:p>
      <w:pPr>
        <w:pStyle w:val="ListBullet"/>
        <w:spacing w:after="60"/>
        <w:ind w:left="360" w:hanging="230"/>
      </w:pPr>
      <w:r>
        <w:t>Demo usage</w:t>
      </w:r>
    </w:p>
    <w:p>
      <w:pPr>
        <w:pStyle w:val="ListBullet"/>
        <w:spacing w:after="60"/>
        <w:ind w:left="360" w:hanging="230"/>
      </w:pPr>
      <w:r>
        <w:t>Evaluator feedback</w:t>
      </w:r>
    </w:p>
    <w:p>
      <w:pPr>
        <w:pStyle w:val="ListBullet"/>
        <w:spacing w:after="60"/>
        <w:ind w:left="360" w:hanging="230"/>
      </w:pPr>
      <w:r>
        <w:t>Waitlist</w:t>
      </w:r>
    </w:p>
    <w:p>
      <w:pPr>
        <w:pStyle w:val="ListBullet"/>
        <w:spacing w:after="60"/>
        <w:ind w:left="360" w:hanging="230"/>
      </w:pPr>
      <w:r>
        <w:t>Named reviews</w:t>
      </w:r>
    </w:p>
    <w:p>
      <w:pPr>
        <w:pStyle w:val="ListBullet"/>
        <w:spacing w:after="60"/>
        <w:ind w:left="360" w:hanging="230"/>
      </w:pPr>
      <w:r>
        <w:t>Relevant professional engagement</w:t>
      </w:r>
    </w:p>
    <w:p>
      <w:pPr>
        <w:pStyle w:val="ListBullet"/>
        <w:spacing w:after="60"/>
        <w:ind w:left="360" w:hanging="230"/>
      </w:pPr>
      <w:r>
        <w:t>Design partners</w:t>
      </w:r>
    </w:p>
    <w:p>
      <w:pPr>
        <w:pStyle w:val="ListBullet"/>
        <w:spacing w:after="60"/>
        <w:ind w:left="360" w:hanging="230"/>
      </w:pPr>
      <w:r>
        <w:t>Pilot discussions</w:t>
      </w:r>
    </w:p>
    <w:p>
      <w:pPr>
        <w:pStyle w:val="ListBullet"/>
        <w:spacing w:after="60"/>
        <w:ind w:left="360" w:hanging="230"/>
      </w:pPr>
      <w:r>
        <w:t>Customer commitments</w:t>
      </w:r>
    </w:p>
    <w:p>
      <w:pPr>
        <w:pStyle w:val="ListBullet"/>
        <w:spacing w:after="60"/>
        <w:ind w:left="360" w:hanging="230"/>
      </w:pPr>
      <w:r>
        <w:t>Commercial customers</w:t>
      </w:r>
    </w:p>
    <w:p>
      <w:pPr>
        <w:pStyle w:val="ListBullet"/>
        <w:spacing w:after="60"/>
        <w:ind w:left="360" w:hanging="230"/>
      </w:pPr>
      <w:r>
        <w:t>Usage volume</w:t>
      </w:r>
    </w:p>
    <w:p>
      <w:pPr>
        <w:pStyle w:val="ListBullet"/>
        <w:spacing w:after="60"/>
        <w:ind w:left="360" w:hanging="230"/>
      </w:pPr>
      <w:r>
        <w:t>Measured outcomes</w:t>
      </w:r>
    </w:p>
    <w:p>
      <w:pPr>
        <w:pStyle w:val="Heading2"/>
      </w:pPr>
      <w:r>
        <w:t>10.32 Evidence for Microsoft</w:t>
      </w:r>
    </w:p>
    <w:p>
      <w:r>
        <w:t>The same progression can support DRE’s Microsoft/Azure strategy.</w:t>
      </w:r>
    </w:p>
    <w:p>
      <w:pPr>
        <w:pStyle w:val="ListBullet"/>
        <w:spacing w:after="60"/>
        <w:ind w:left="360" w:hanging="230"/>
      </w:pPr>
      <w:r>
        <w:t>Working Azure-connected product</w:t>
      </w:r>
    </w:p>
    <w:p>
      <w:pPr>
        <w:pStyle w:val="ListBullet"/>
        <w:spacing w:after="60"/>
        <w:ind w:left="360" w:hanging="230"/>
      </w:pPr>
      <w:r>
        <w:t>Increasing Azure workload adoption</w:t>
      </w:r>
    </w:p>
    <w:p>
      <w:pPr>
        <w:pStyle w:val="ListBullet"/>
        <w:spacing w:after="60"/>
        <w:ind w:left="360" w:hanging="230"/>
      </w:pPr>
      <w:r>
        <w:t>Customer-owned Azure deployment direction</w:t>
      </w:r>
    </w:p>
    <w:p>
      <w:pPr>
        <w:pStyle w:val="ListBullet"/>
        <w:spacing w:after="60"/>
        <w:ind w:left="360" w:hanging="230"/>
      </w:pPr>
      <w:r>
        <w:t>Demonstrable Azure AI use</w:t>
      </w:r>
    </w:p>
    <w:p>
      <w:pPr>
        <w:pStyle w:val="ListBullet"/>
        <w:spacing w:after="60"/>
        <w:ind w:left="360" w:hanging="230"/>
      </w:pPr>
      <w:r>
        <w:t>Customer evaluation</w:t>
      </w:r>
    </w:p>
    <w:p>
      <w:pPr>
        <w:pStyle w:val="ListBullet"/>
        <w:spacing w:after="60"/>
        <w:ind w:left="360" w:hanging="230"/>
      </w:pPr>
      <w:r>
        <w:t>Marketplace readiness</w:t>
      </w:r>
    </w:p>
    <w:p>
      <w:pPr>
        <w:pStyle w:val="ListBullet"/>
        <w:spacing w:after="60"/>
        <w:ind w:left="360" w:hanging="230"/>
      </w:pPr>
      <w:r>
        <w:t>Customer demand</w:t>
      </w:r>
    </w:p>
    <w:p>
      <w:pPr>
        <w:pStyle w:val="ListBullet"/>
        <w:spacing w:after="60"/>
        <w:ind w:left="360" w:hanging="230"/>
      </w:pPr>
      <w:r>
        <w:t>Commercial deployment</w:t>
      </w:r>
    </w:p>
    <w:p>
      <w:pPr>
        <w:pStyle w:val="Heading2"/>
      </w:pPr>
      <w:r>
        <w:t>10.33 Immediate Validation Sequence</w:t>
      </w:r>
    </w:p>
    <w:p>
      <w:r>
        <w:t>The immediate market-validation sequence is:</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IMMEDIATE SEQUENCE</w:t>
              <w:br/>
            </w:r>
            <w:r>
              <w:t>Finish working demo → expose DRE to evaluators → capture usage → collect feedback → capture waitlist interest → identify recurring problems → improve product and documentation → pursue deeper customer conversations.</w:t>
            </w:r>
          </w:p>
        </w:tc>
      </w:tr>
    </w:tbl>
    <w:p/>
    <w:p>
      <w:pPr>
        <w:pStyle w:val="Heading2"/>
      </w:pPr>
      <w:r>
        <w:t>10.34 Market-Validation Principle</w:t>
      </w:r>
    </w:p>
    <w:p>
      <w:r>
        <w:t>The governing principle is:</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GOVERNING PRINCIPLE</w:t>
              <w:br/>
            </w:r>
            <w:r>
              <w:t>Do not ask the market to validate a description of DRE when the market can interact with DRE itself.</w:t>
            </w:r>
          </w:p>
        </w:tc>
      </w:tr>
    </w:tbl>
    <w:p/>
    <w:p>
      <w:pPr>
        <w:pStyle w:val="ListBullet"/>
        <w:spacing w:after="60"/>
        <w:ind w:left="360" w:hanging="230"/>
      </w:pPr>
      <w:r>
        <w:t>Show the product.</w:t>
      </w:r>
    </w:p>
    <w:p>
      <w:pPr>
        <w:pStyle w:val="ListBullet"/>
        <w:spacing w:after="60"/>
        <w:ind w:left="360" w:hanging="230"/>
      </w:pPr>
      <w:r>
        <w:t>Watch what people do.</w:t>
      </w:r>
    </w:p>
    <w:p>
      <w:pPr>
        <w:pStyle w:val="ListBullet"/>
        <w:spacing w:after="60"/>
        <w:ind w:left="360" w:hanging="230"/>
      </w:pPr>
      <w:r>
        <w:t>Ask what they think.</w:t>
      </w:r>
    </w:p>
    <w:p>
      <w:pPr>
        <w:pStyle w:val="ListBullet"/>
        <w:spacing w:after="60"/>
        <w:ind w:left="360" w:hanging="230"/>
      </w:pPr>
      <w:r>
        <w:t>Preserve the evidence.</w:t>
      </w:r>
    </w:p>
    <w:p>
      <w:pPr>
        <w:pStyle w:val="ListBullet"/>
        <w:spacing w:after="60"/>
        <w:ind w:left="360" w:hanging="230"/>
      </w:pPr>
      <w:r>
        <w:t>Separate enthusiasm from commitment.</w:t>
      </w:r>
    </w:p>
    <w:p>
      <w:pPr>
        <w:pStyle w:val="ListBullet"/>
        <w:spacing w:after="60"/>
        <w:ind w:left="360" w:hanging="230"/>
      </w:pPr>
      <w:r>
        <w:t>Separate proposed financial effects from realized outcomes.</w:t>
      </w:r>
    </w:p>
    <w:p>
      <w:pPr>
        <w:pStyle w:val="ListBullet"/>
        <w:spacing w:after="60"/>
        <w:ind w:left="360" w:hanging="230"/>
      </w:pPr>
      <w:r>
        <w:t>Use recurring evidence to improve the product.</w:t>
      </w:r>
    </w:p>
    <w:p>
      <w:r>
        <w:t>And progressively move from “we believe customers have this problem” toward “we can show how real customers interact with DRE and what happens when they do.”</w:t>
      </w:r>
    </w:p>
    <w:p>
      <w:r>
        <w:br w:type="page"/>
      </w:r>
    </w:p>
    <w:p>
      <w:pPr>
        <w:pStyle w:val="Heading1"/>
      </w:pPr>
      <w:r>
        <w:t>11. Market Position</w:t>
      </w:r>
    </w:p>
    <w:p>
      <w:r>
        <w:t>DRE enters an established legal-technology market in which corporate legal departments already have multiple ways to receive, review, approve, reject, adjust, and report on outside-counsel invoices.</w:t>
      </w:r>
    </w:p>
    <w:p>
      <w:r>
        <w:t>The market opportunity is therefore not based on the assumption that legal invoice review does not exist.</w:t>
      </w:r>
    </w:p>
    <w:p>
      <w:r>
        <w:t>It is based on a narrower question:</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MARKET QUESTION</w:t>
              <w:br/>
            </w:r>
            <w:r>
              <w:t>Can DRE perform the specialized legal-billing review job materially better, with less operational burden, without requiring the customer to replace or operate another oversized legal-management platform?</w:t>
            </w:r>
          </w:p>
        </w:tc>
      </w:tr>
    </w:tbl>
    <w:p/>
    <w:p>
      <w:r>
        <w:t>Current market evidence supports the existence of that problem. Corporate legal departments already use e-billing and matter-management products, but users also describe invoice-review burden, confusing interfaces, implementation friction, excessive functionality for narrower needs, manual approval complexity, and difficulty understanding billing-rule enforcement.</w:t>
      </w:r>
    </w:p>
    <w:p>
      <w:r>
        <w:t>DRE’s market position is therefore not:</w:t>
      </w:r>
    </w:p>
    <w:p>
      <w:r>
        <w:t>“Nobody else reviews legal bills.”</w:t>
      </w:r>
    </w:p>
    <w:p>
      <w:r>
        <w:t>It is:</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MARKET POSITION</w:t>
              <w:br/>
            </w:r>
            <w:r>
              <w:t>Legal-billing review should be a focused capability, not another job.</w:t>
            </w:r>
          </w:p>
        </w:tc>
      </w:tr>
    </w:tbl>
    <w:p/>
    <w:p>
      <w:pPr>
        <w:pStyle w:val="Heading2"/>
      </w:pPr>
      <w:r>
        <w:t>11.1 Initial Market</w:t>
      </w:r>
    </w:p>
    <w:p>
      <w:r>
        <w:t>DRE’s initial market is corporate legal departments and legal operations teams managing outside-counsel billing.</w:t>
      </w:r>
    </w:p>
    <w:p>
      <w:pPr>
        <w:pStyle w:val="ListBullet"/>
        <w:spacing w:after="60"/>
        <w:ind w:left="360" w:hanging="230"/>
      </w:pPr>
      <w:r>
        <w:t>General counsel</w:t>
      </w:r>
    </w:p>
    <w:p>
      <w:pPr>
        <w:pStyle w:val="ListBullet"/>
        <w:spacing w:after="60"/>
        <w:ind w:left="360" w:hanging="230"/>
      </w:pPr>
      <w:r>
        <w:t>Legal operations</w:t>
      </w:r>
    </w:p>
    <w:p>
      <w:pPr>
        <w:pStyle w:val="ListBullet"/>
        <w:spacing w:after="60"/>
        <w:ind w:left="360" w:hanging="230"/>
      </w:pPr>
      <w:r>
        <w:t>Legal finance</w:t>
      </w:r>
    </w:p>
    <w:p>
      <w:pPr>
        <w:pStyle w:val="ListBullet"/>
        <w:spacing w:after="60"/>
        <w:ind w:left="360" w:hanging="230"/>
      </w:pPr>
      <w:r>
        <w:t>Outside-counsel management</w:t>
      </w:r>
    </w:p>
    <w:p>
      <w:pPr>
        <w:pStyle w:val="ListBullet"/>
        <w:spacing w:after="60"/>
        <w:ind w:left="360" w:hanging="230"/>
      </w:pPr>
      <w:r>
        <w:t>Billing/compliance reviewers</w:t>
      </w:r>
    </w:p>
    <w:p>
      <w:pPr>
        <w:pStyle w:val="ListBullet"/>
        <w:spacing w:after="60"/>
        <w:ind w:left="360" w:hanging="230"/>
      </w:pPr>
      <w:r>
        <w:t>Procurement</w:t>
      </w:r>
    </w:p>
    <w:p>
      <w:pPr>
        <w:pStyle w:val="ListBullet"/>
        <w:spacing w:after="60"/>
        <w:ind w:left="360" w:hanging="230"/>
      </w:pPr>
      <w:r>
        <w:t>Enterprise IT</w:t>
      </w:r>
    </w:p>
    <w:p>
      <w:pPr>
        <w:pStyle w:val="ListBullet"/>
        <w:spacing w:after="60"/>
        <w:ind w:left="360" w:hanging="230"/>
      </w:pPr>
      <w:r>
        <w:t>Information security</w:t>
      </w:r>
    </w:p>
    <w:p>
      <w:r>
        <w:t>The initial product is legal-only.</w:t>
      </w:r>
    </w:p>
    <w:p>
      <w:r>
        <w:t>DRE is not currently positioned as a medical, HIPAA, academic, general accounting, law-practice-management, CRM, document-management, or timekeeping product.</w:t>
      </w:r>
    </w:p>
    <w:p>
      <w:r>
        <w:t>That narrow scope is deliberate.</w:t>
      </w:r>
    </w:p>
    <w:p>
      <w:pPr>
        <w:pStyle w:val="Heading2"/>
      </w:pPr>
      <w:r>
        <w:t>11.2 Outside-Counsel Billing Problem</w:t>
      </w:r>
    </w:p>
    <w:p>
      <w:r>
        <w:t>Outside-counsel invoices can contain large numbers of individual billing entries that must be evaluated against contractual requirements, billing policies, and Outside Counsel Guidelines.</w:t>
      </w:r>
    </w:p>
    <w:p>
      <w:pPr>
        <w:pStyle w:val="ListBullet"/>
        <w:spacing w:after="60"/>
        <w:ind w:left="360" w:hanging="230"/>
      </w:pPr>
      <w:r>
        <w:t>Block billing</w:t>
      </w:r>
    </w:p>
    <w:p>
      <w:pPr>
        <w:pStyle w:val="ListBullet"/>
        <w:spacing w:after="60"/>
        <w:ind w:left="360" w:hanging="230"/>
      </w:pPr>
      <w:r>
        <w:t>Vague narratives</w:t>
      </w:r>
    </w:p>
    <w:p>
      <w:pPr>
        <w:pStyle w:val="ListBullet"/>
        <w:spacing w:after="60"/>
        <w:ind w:left="360" w:hanging="230"/>
      </w:pPr>
      <w:r>
        <w:t>Administrative work</w:t>
      </w:r>
    </w:p>
    <w:p>
      <w:pPr>
        <w:pStyle w:val="ListBullet"/>
        <w:spacing w:after="60"/>
        <w:ind w:left="360" w:hanging="230"/>
      </w:pPr>
      <w:r>
        <w:t>Billing-rule violations</w:t>
      </w:r>
    </w:p>
    <w:p>
      <w:pPr>
        <w:pStyle w:val="ListBullet"/>
        <w:spacing w:after="60"/>
        <w:ind w:left="360" w:hanging="230"/>
      </w:pPr>
      <w:r>
        <w:t>Unapproved or problematic charges</w:t>
      </w:r>
    </w:p>
    <w:p>
      <w:pPr>
        <w:pStyle w:val="ListBullet"/>
        <w:spacing w:after="60"/>
        <w:ind w:left="360" w:hanging="230"/>
      </w:pPr>
      <w:r>
        <w:t>Entries requiring contextual interpretation</w:t>
      </w:r>
    </w:p>
    <w:p>
      <w:pPr>
        <w:pStyle w:val="Heading2"/>
      </w:pPr>
      <w:r>
        <w:t>11.3 Established E-Billing Market</w:t>
      </w:r>
    </w:p>
    <w:p>
      <w:r>
        <w:t>DRE is entering a mature category rather than inventing a new one.</w:t>
      </w:r>
    </w:p>
    <w:p>
      <w:r>
        <w:t>An Association of Corporate Counsel survey of legal-operations technology found multiple established e-billing systems in organizational use, including Thomson Reuters Legal Tracker, Onit, LexisNexis CounselLink, SimpleLegal, Wolters Kluwer products, Mitratech TeamConnect, and others.</w:t>
      </w:r>
    </w:p>
    <w:p>
      <w:r>
        <w:t>DRE does not need to convince the market that legal e-billing or invoice review is a legitimate business function.</w:t>
      </w:r>
    </w:p>
    <w:p>
      <w:r>
        <w:t>The product question is whether DRE can provide a better way to perform a particular high-friction portion of that work.</w:t>
      </w:r>
    </w:p>
    <w:p>
      <w:pPr>
        <w:pStyle w:val="Heading2"/>
      </w:pPr>
      <w:r>
        <w:t>11.4 Existing Alternatives</w:t>
      </w:r>
    </w:p>
    <w:p>
      <w:r>
        <w:t>Customers currently have several categories of alternatives.</w:t>
      </w:r>
    </w:p>
    <w:tbl>
      <w:tblPr>
        <w:tblStyle w:val="TableGrid"/>
        <w:tblW w:type="auto" w:w="0"/>
        <w:jc w:val="center"/>
        <w:tblLook w:firstColumn="1" w:firstRow="1" w:lastColumn="0" w:lastRow="0" w:noHBand="0" w:noVBand="1" w:val="04A0"/>
      </w:tblPr>
      <w:tblGrid>
        <w:gridCol w:w="4939"/>
        <w:gridCol w:w="4939"/>
      </w:tblGrid>
      <w:tr>
        <w:tc>
          <w:tcPr>
            <w:tcW w:type="dxa" w:w="4939"/>
            <w:vAlign w:val="center"/>
            <w:tcMar>
              <w:top w:w="110" w:type="dxa"/>
              <w:start w:w="110" w:type="dxa"/>
              <w:bottom w:w="110" w:type="dxa"/>
              <w:end w:w="110" w:type="dxa"/>
            </w:tcMar>
            <w:shd w:fill="16324F"/>
          </w:tcPr>
          <w:p>
            <w:pPr>
              <w:spacing w:after="0"/>
            </w:pPr>
            <w:r/>
            <w:r>
              <w:rPr>
                <w:rFonts w:ascii="Aptos" w:hAnsi="Aptos"/>
                <w:b/>
                <w:color w:val="FFFFFF"/>
                <w:sz w:val="16"/>
              </w:rPr>
              <w:t>CATEGORY</w:t>
            </w:r>
          </w:p>
        </w:tc>
        <w:tc>
          <w:tcPr>
            <w:tcW w:type="dxa" w:w="4939"/>
            <w:vAlign w:val="center"/>
            <w:tcMar>
              <w:top w:w="110" w:type="dxa"/>
              <w:start w:w="110" w:type="dxa"/>
              <w:bottom w:w="110" w:type="dxa"/>
              <w:end w:w="110" w:type="dxa"/>
            </w:tcMar>
            <w:shd w:fill="16324F"/>
          </w:tcPr>
          <w:p>
            <w:pPr>
              <w:spacing w:after="0"/>
            </w:pPr>
            <w:r/>
            <w:r>
              <w:rPr>
                <w:rFonts w:ascii="Aptos" w:hAnsi="Aptos"/>
                <w:b/>
                <w:color w:val="FFFFFF"/>
                <w:sz w:val="16"/>
              </w:rPr>
              <w:t>DESCRIPTION</w:t>
            </w:r>
          </w:p>
        </w:tc>
      </w:tr>
      <w:tr>
        <w:tc>
          <w:tcPr>
            <w:tcW w:type="dxa" w:w="4939"/>
            <w:vAlign w:val="center"/>
            <w:tcMar>
              <w:top w:w="110" w:type="dxa"/>
              <w:start w:w="110" w:type="dxa"/>
              <w:bottom w:w="110" w:type="dxa"/>
              <w:end w:w="110" w:type="dxa"/>
            </w:tcMar>
            <w:shd w:fill="FFFFFF"/>
          </w:tcPr>
          <w:p>
            <w:pPr>
              <w:spacing w:after="0"/>
            </w:pPr>
            <w:r/>
            <w:r>
              <w:rPr>
                <w:rFonts w:ascii="Aptos" w:hAnsi="Aptos"/>
                <w:b w:val="0"/>
                <w:color w:val="24313C"/>
                <w:sz w:val="17"/>
              </w:rPr>
              <w:t>Enterprise Legal Management and Spend Platforms</w:t>
            </w:r>
          </w:p>
        </w:tc>
        <w:tc>
          <w:tcPr>
            <w:tcW w:type="dxa" w:w="4939"/>
            <w:vAlign w:val="center"/>
            <w:tcMar>
              <w:top w:w="110" w:type="dxa"/>
              <w:start w:w="110" w:type="dxa"/>
              <w:bottom w:w="110" w:type="dxa"/>
              <w:end w:w="110" w:type="dxa"/>
            </w:tcMar>
            <w:shd w:fill="FFFFFF"/>
          </w:tcPr>
          <w:p>
            <w:pPr>
              <w:spacing w:after="0"/>
            </w:pPr>
            <w:r/>
            <w:r>
              <w:rPr>
                <w:rFonts w:ascii="Aptos" w:hAnsi="Aptos"/>
                <w:b w:val="0"/>
                <w:color w:val="24313C"/>
                <w:sz w:val="17"/>
              </w:rPr>
              <w:t>Large platforms combine e-billing, matter management, spend management, budgeting, reporting, analytics, vendor management, workflow, and additional legal-operations capabilities.</w:t>
            </w:r>
          </w:p>
        </w:tc>
      </w:tr>
      <w:tr>
        <w:tc>
          <w:tcPr>
            <w:tcW w:type="dxa" w:w="4939"/>
            <w:vAlign w:val="center"/>
            <w:tcMar>
              <w:top w:w="110" w:type="dxa"/>
              <w:start w:w="110" w:type="dxa"/>
              <w:bottom w:w="110" w:type="dxa"/>
              <w:end w:w="110" w:type="dxa"/>
            </w:tcMar>
            <w:shd w:fill="F4F7F9"/>
          </w:tcPr>
          <w:p>
            <w:pPr>
              <w:spacing w:after="0"/>
            </w:pPr>
            <w:r/>
            <w:r>
              <w:rPr>
                <w:rFonts w:ascii="Aptos" w:hAnsi="Aptos"/>
                <w:b w:val="0"/>
                <w:color w:val="24313C"/>
                <w:sz w:val="17"/>
              </w:rPr>
              <w:t>Internal Manual Review</w:t>
            </w:r>
          </w:p>
        </w:tc>
        <w:tc>
          <w:tcPr>
            <w:tcW w:type="dxa" w:w="4939"/>
            <w:vAlign w:val="center"/>
            <w:tcMar>
              <w:top w:w="110" w:type="dxa"/>
              <w:start w:w="110" w:type="dxa"/>
              <w:bottom w:w="110" w:type="dxa"/>
              <w:end w:w="110" w:type="dxa"/>
            </w:tcMar>
            <w:shd w:fill="F4F7F9"/>
          </w:tcPr>
          <w:p>
            <w:pPr>
              <w:spacing w:after="0"/>
            </w:pPr>
            <w:r/>
            <w:r>
              <w:rPr>
                <w:rFonts w:ascii="Aptos" w:hAnsi="Aptos"/>
                <w:b w:val="0"/>
                <w:color w:val="24313C"/>
                <w:sz w:val="17"/>
              </w:rPr>
              <w:t>Organizations can continue reviewing invoices through existing legal, finance, procurement, or billing personnel.</w:t>
            </w:r>
          </w:p>
        </w:tc>
      </w:tr>
      <w:tr>
        <w:tc>
          <w:tcPr>
            <w:tcW w:type="dxa" w:w="4939"/>
            <w:vAlign w:val="center"/>
            <w:tcMar>
              <w:top w:w="110" w:type="dxa"/>
              <w:start w:w="110" w:type="dxa"/>
              <w:bottom w:w="110" w:type="dxa"/>
              <w:end w:w="110" w:type="dxa"/>
            </w:tcMar>
            <w:shd w:fill="FFFFFF"/>
          </w:tcPr>
          <w:p>
            <w:pPr>
              <w:spacing w:after="0"/>
            </w:pPr>
            <w:r/>
            <w:r>
              <w:rPr>
                <w:rFonts w:ascii="Aptos" w:hAnsi="Aptos"/>
                <w:b w:val="0"/>
                <w:color w:val="24313C"/>
                <w:sz w:val="17"/>
              </w:rPr>
              <w:t>External Review Services</w:t>
            </w:r>
          </w:p>
        </w:tc>
        <w:tc>
          <w:tcPr>
            <w:tcW w:type="dxa" w:w="4939"/>
            <w:vAlign w:val="center"/>
            <w:tcMar>
              <w:top w:w="110" w:type="dxa"/>
              <w:start w:w="110" w:type="dxa"/>
              <w:bottom w:w="110" w:type="dxa"/>
              <w:end w:w="110" w:type="dxa"/>
            </w:tcMar>
            <w:shd w:fill="FFFFFF"/>
          </w:tcPr>
          <w:p>
            <w:pPr>
              <w:spacing w:after="0"/>
            </w:pPr>
            <w:r/>
            <w:r>
              <w:rPr>
                <w:rFonts w:ascii="Aptos" w:hAnsi="Aptos"/>
                <w:b w:val="0"/>
                <w:color w:val="24313C"/>
                <w:sz w:val="17"/>
              </w:rPr>
              <w:t>Organizations can outsource portions of invoice review to specialized service providers.</w:t>
            </w:r>
          </w:p>
        </w:tc>
      </w:tr>
      <w:tr>
        <w:tc>
          <w:tcPr>
            <w:tcW w:type="dxa" w:w="4939"/>
            <w:vAlign w:val="center"/>
            <w:tcMar>
              <w:top w:w="110" w:type="dxa"/>
              <w:start w:w="110" w:type="dxa"/>
              <w:bottom w:w="110" w:type="dxa"/>
              <w:end w:w="110" w:type="dxa"/>
            </w:tcMar>
            <w:shd w:fill="F4F7F9"/>
          </w:tcPr>
          <w:p>
            <w:pPr>
              <w:spacing w:after="0"/>
            </w:pPr>
            <w:r/>
            <w:r>
              <w:rPr>
                <w:rFonts w:ascii="Aptos" w:hAnsi="Aptos"/>
                <w:b w:val="0"/>
                <w:color w:val="24313C"/>
                <w:sz w:val="17"/>
              </w:rPr>
              <w:t>Existing-System Rules</w:t>
            </w:r>
          </w:p>
        </w:tc>
        <w:tc>
          <w:tcPr>
            <w:tcW w:type="dxa" w:w="4939"/>
            <w:vAlign w:val="center"/>
            <w:tcMar>
              <w:top w:w="110" w:type="dxa"/>
              <w:start w:w="110" w:type="dxa"/>
              <w:bottom w:w="110" w:type="dxa"/>
              <w:end w:w="110" w:type="dxa"/>
            </w:tcMar>
            <w:shd w:fill="F4F7F9"/>
          </w:tcPr>
          <w:p>
            <w:pPr>
              <w:spacing w:after="0"/>
            </w:pPr>
            <w:r/>
            <w:r>
              <w:rPr>
                <w:rFonts w:ascii="Aptos" w:hAnsi="Aptos"/>
                <w:b w:val="0"/>
                <w:color w:val="24313C"/>
                <w:sz w:val="17"/>
              </w:rPr>
              <w:t>Customers may rely on deterministic or configurable billing controls already existing within their e-billing environment.</w:t>
            </w:r>
          </w:p>
        </w:tc>
      </w:tr>
      <w:tr>
        <w:tc>
          <w:tcPr>
            <w:tcW w:type="dxa" w:w="4939"/>
            <w:vAlign w:val="center"/>
            <w:tcMar>
              <w:top w:w="110" w:type="dxa"/>
              <w:start w:w="110" w:type="dxa"/>
              <w:bottom w:w="110" w:type="dxa"/>
              <w:end w:w="110" w:type="dxa"/>
            </w:tcMar>
            <w:shd w:fill="FFFFFF"/>
          </w:tcPr>
          <w:p>
            <w:pPr>
              <w:spacing w:after="0"/>
            </w:pPr>
            <w:r/>
            <w:r>
              <w:rPr>
                <w:rFonts w:ascii="Aptos" w:hAnsi="Aptos"/>
                <w:b w:val="0"/>
                <w:color w:val="24313C"/>
                <w:sz w:val="17"/>
              </w:rPr>
              <w:t>Specialized Review Technology</w:t>
            </w:r>
          </w:p>
        </w:tc>
        <w:tc>
          <w:tcPr>
            <w:tcW w:type="dxa" w:w="4939"/>
            <w:vAlign w:val="center"/>
            <w:tcMar>
              <w:top w:w="110" w:type="dxa"/>
              <w:start w:w="110" w:type="dxa"/>
              <w:bottom w:w="110" w:type="dxa"/>
              <w:end w:w="110" w:type="dxa"/>
            </w:tcMar>
            <w:shd w:fill="FFFFFF"/>
          </w:tcPr>
          <w:p>
            <w:pPr>
              <w:spacing w:after="0"/>
            </w:pPr>
            <w:r/>
            <w:r>
              <w:rPr>
                <w:rFonts w:ascii="Aptos" w:hAnsi="Aptos"/>
                <w:b w:val="0"/>
                <w:color w:val="24313C"/>
                <w:sz w:val="17"/>
              </w:rPr>
              <w:t>A narrower product can concentrate specifically on invoice review rather than requiring adoption of a complete enterprise legal-management platform.</w:t>
            </w:r>
          </w:p>
        </w:tc>
      </w:tr>
    </w:tbl>
    <w:p/>
    <w:p>
      <w:r>
        <w:t>DRE is being positioned in this final category.</w:t>
      </w:r>
    </w:p>
    <w:p>
      <w:pPr>
        <w:pStyle w:val="Heading2"/>
      </w:pPr>
      <w:r>
        <w:t>11.5 The Product-Bloat Problem</w:t>
      </w:r>
    </w:p>
    <w:p>
      <w:r>
        <w:t>One of the clearest market signals supporting DRE’s positioning comes from customers who want invoice review without another entire legal technology platform.</w:t>
      </w:r>
    </w:p>
    <w:p>
      <w:r>
        <w:t>The customer is not necessarily saying:</w:t>
      </w:r>
    </w:p>
    <w:p>
      <w:r>
        <w:t>“I need more legal technology.”</w:t>
      </w:r>
    </w:p>
    <w:p>
      <w:r>
        <w:t>They may be saying:</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CUSTOMER NEED</w:t>
              <w:br/>
            </w:r>
            <w:r>
              <w:t>I need this particular problem solved.</w:t>
            </w:r>
          </w:p>
        </w:tc>
      </w:tr>
    </w:tbl>
    <w:p/>
    <w:p>
      <w:pPr>
        <w:pStyle w:val="Heading2"/>
      </w:pPr>
      <w:r>
        <w:t>11.6 Operational Burden</w:t>
      </w:r>
    </w:p>
    <w:p>
      <w:r>
        <w:t>Legal technology can itself create work.</w:t>
      </w:r>
    </w:p>
    <w:p>
      <w:pPr>
        <w:pStyle w:val="Heading2"/>
      </w:pPr>
      <w:r>
        <w:t>11.7 DRE Counterposition</w:t>
      </w:r>
    </w:p>
    <w:p>
      <w:r>
        <w:t>DRE’s counterposition is:</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COUNTERPOSITION</w:t>
              <w:br/>
            </w:r>
            <w:r>
              <w:t>Do the review job. Do not become the customer’s new legal-operations job.</w:t>
            </w:r>
          </w:p>
        </w:tc>
      </w:tr>
    </w:tbl>
    <w:p/>
    <w:p>
      <w:pPr>
        <w:pStyle w:val="ListBullet"/>
        <w:spacing w:after="60"/>
        <w:ind w:left="360" w:hanging="230"/>
      </w:pPr>
      <w:r>
        <w:t>Start with the legal bill</w:t>
      </w:r>
    </w:p>
    <w:p>
      <w:pPr>
        <w:pStyle w:val="ListBullet"/>
        <w:spacing w:after="60"/>
        <w:ind w:left="360" w:hanging="230"/>
      </w:pPr>
      <w:r>
        <w:t>Minimize configuration burden where possible</w:t>
      </w:r>
    </w:p>
    <w:p>
      <w:pPr>
        <w:pStyle w:val="ListBullet"/>
        <w:spacing w:after="60"/>
        <w:ind w:left="360" w:hanging="230"/>
      </w:pPr>
      <w:r>
        <w:t>Resolve deterministic questions deterministically</w:t>
      </w:r>
    </w:p>
    <w:p>
      <w:pPr>
        <w:pStyle w:val="ListBullet"/>
        <w:spacing w:after="60"/>
        <w:ind w:left="360" w:hanging="230"/>
      </w:pPr>
      <w:r>
        <w:t>Send semantic questions to controlled semantic review</w:t>
      </w:r>
    </w:p>
    <w:p>
      <w:pPr>
        <w:pStyle w:val="ListBullet"/>
        <w:spacing w:after="60"/>
        <w:ind w:left="360" w:hanging="230"/>
      </w:pPr>
      <w:r>
        <w:t>Isolate the smaller population requiring human judgment</w:t>
      </w:r>
    </w:p>
    <w:p>
      <w:pPr>
        <w:pStyle w:val="ListBullet"/>
        <w:spacing w:after="60"/>
        <w:ind w:left="360" w:hanging="230"/>
      </w:pPr>
      <w:r>
        <w:t>Explain why an item was treated as it was</w:t>
      </w:r>
    </w:p>
    <w:p>
      <w:pPr>
        <w:pStyle w:val="ListBullet"/>
        <w:spacing w:after="60"/>
        <w:ind w:left="360" w:hanging="230"/>
      </w:pPr>
      <w:r>
        <w:t>Return usable results</w:t>
      </w:r>
    </w:p>
    <w:p>
      <w:pPr>
        <w:pStyle w:val="ListBullet"/>
        <w:spacing w:after="60"/>
        <w:ind w:left="360" w:hanging="230"/>
      </w:pPr>
      <w:r>
        <w:t>Preserve audit evidence</w:t>
      </w:r>
    </w:p>
    <w:p>
      <w:pPr>
        <w:pStyle w:val="ListBullet"/>
        <w:spacing w:after="60"/>
        <w:ind w:left="360" w:hanging="230"/>
      </w:pPr>
      <w:r>
        <w:t>Work within the customer’s existing Microsoft ecosystem</w:t>
      </w:r>
    </w:p>
    <w:p>
      <w:pPr>
        <w:pStyle w:val="ListBullet"/>
        <w:spacing w:after="60"/>
        <w:ind w:left="360" w:hanging="230"/>
      </w:pPr>
      <w:r>
        <w:t>Coexist with the customer’s existing legal systems</w:t>
      </w:r>
    </w:p>
    <w:p>
      <w:r>
        <w:t>The simplicity is not an absence of technical sophistication.</w:t>
      </w:r>
    </w:p>
    <w:p>
      <w:r>
        <w:t>It is the intended result of technical sophistication.</w:t>
      </w:r>
    </w:p>
    <w:p>
      <w:pPr>
        <w:pStyle w:val="Heading2"/>
      </w:pPr>
      <w:r>
        <w:t>11.8 One File In, Two Files Out</w:t>
      </w:r>
    </w:p>
    <w:p>
      <w:r>
        <w:t>DRE’s strongest customer-facing simplification is:</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CUSTOMER-FACING SIMPLIFICATION</w:t>
              <w:br/>
            </w:r>
            <w:r>
              <w:t>One legal-billing file in. Two files out.</w:t>
            </w:r>
          </w:p>
        </w:tc>
      </w:tr>
    </w:tbl>
    <w:p/>
    <w:p>
      <w:pPr>
        <w:pStyle w:val="ListBullet"/>
        <w:spacing w:after="60"/>
        <w:ind w:left="360" w:hanging="230"/>
      </w:pPr>
      <w:r>
        <w:t>PASSED CONSENSUS</w:t>
      </w:r>
    </w:p>
    <w:p>
      <w:pPr>
        <w:pStyle w:val="ListBullet"/>
        <w:spacing w:after="60"/>
        <w:ind w:left="360" w:hanging="230"/>
      </w:pPr>
      <w:r>
        <w:t>HUMAN REVIEW</w:t>
      </w:r>
    </w:p>
    <w:p>
      <w:r>
        <w:t>The market significance of this model is that the customer should not have to operate DRE’s internal architecture.</w:t>
      </w:r>
    </w:p>
    <w:p>
      <w:pPr>
        <w:pStyle w:val="Heading2"/>
      </w:pPr>
      <w:r>
        <w:t>11.9 Review What Needs Judgment</w:t>
      </w:r>
    </w:p>
    <w:p>
      <w:r>
        <w:t>Traditional manual invoice review can force human attention across an unnecessarily broad billing population.</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ALLOCATION OF ATTENTION</w:t>
              <w:br/>
            </w:r>
            <w:r>
              <w:t>Automate what is objectively resolvable.</w:t>
              <w:br/>
              <w:br/>
              <w:t>Use semantic review where interpretation is necessary.</w:t>
              <w:br/>
              <w:br/>
              <w:t>Send the remaining judgment population to an authorized human.</w:t>
            </w:r>
          </w:p>
        </w:tc>
      </w:tr>
    </w:tbl>
    <w:p/>
    <w:p>
      <w:r>
        <w:t>The market proposition is therefore not “remove humans.”</w:t>
      </w:r>
    </w:p>
    <w:p>
      <w:r>
        <w:t>It is:</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MARKET PROPOSITION</w:t>
              <w:br/>
            </w:r>
            <w:r>
              <w:t>Use human attention where human judgment actually matters.</w:t>
            </w:r>
          </w:p>
        </w:tc>
      </w:tr>
    </w:tbl>
    <w:p/>
    <w:p>
      <w:pPr>
        <w:pStyle w:val="Heading2"/>
      </w:pPr>
      <w:r>
        <w:t>11.10 Explainability as Product Position</w:t>
      </w:r>
    </w:p>
    <w:p>
      <w:r>
        <w:t>Billing disputes become more difficult when people cannot understand why a line item was rejected or modified.</w:t>
      </w:r>
    </w:p>
    <w:p>
      <w:pPr>
        <w:pStyle w:val="ListBullet"/>
        <w:spacing w:after="60"/>
        <w:ind w:left="360" w:hanging="230"/>
      </w:pPr>
      <w:r>
        <w:t>Original transaction</w:t>
      </w:r>
    </w:p>
    <w:p>
      <w:pPr>
        <w:pStyle w:val="ListBullet"/>
        <w:spacing w:after="60"/>
        <w:ind w:left="360" w:hanging="230"/>
      </w:pPr>
      <w:r>
        <w:t>Deterministic rule</w:t>
      </w:r>
    </w:p>
    <w:p>
      <w:pPr>
        <w:pStyle w:val="ListBullet"/>
        <w:spacing w:after="60"/>
        <w:ind w:left="360" w:hanging="230"/>
      </w:pPr>
      <w:r>
        <w:t>Finding</w:t>
      </w:r>
    </w:p>
    <w:p>
      <w:pPr>
        <w:pStyle w:val="ListBullet"/>
        <w:spacing w:after="60"/>
        <w:ind w:left="360" w:hanging="230"/>
      </w:pPr>
      <w:r>
        <w:t>Sanitized narrative</w:t>
      </w:r>
    </w:p>
    <w:p>
      <w:pPr>
        <w:pStyle w:val="ListBullet"/>
        <w:spacing w:after="60"/>
        <w:ind w:left="360" w:hanging="230"/>
      </w:pPr>
      <w:r>
        <w:t>Semantic review where applicable</w:t>
      </w:r>
    </w:p>
    <w:p>
      <w:pPr>
        <w:pStyle w:val="ListBullet"/>
        <w:spacing w:after="60"/>
        <w:ind w:left="360" w:hanging="230"/>
      </w:pPr>
      <w:r>
        <w:t>Agent reasoning</w:t>
      </w:r>
    </w:p>
    <w:p>
      <w:pPr>
        <w:pStyle w:val="ListBullet"/>
        <w:spacing w:after="60"/>
        <w:ind w:left="360" w:hanging="230"/>
      </w:pPr>
      <w:r>
        <w:t>Referee result</w:t>
      </w:r>
    </w:p>
    <w:p>
      <w:pPr>
        <w:pStyle w:val="ListBullet"/>
        <w:spacing w:after="60"/>
        <w:ind w:left="360" w:hanging="230"/>
      </w:pPr>
      <w:r>
        <w:t>Proposed treatment</w:t>
      </w:r>
    </w:p>
    <w:p>
      <w:pPr>
        <w:pStyle w:val="ListBullet"/>
        <w:spacing w:after="60"/>
        <w:ind w:left="360" w:hanging="230"/>
      </w:pPr>
      <w:r>
        <w:t>Human disposition</w:t>
      </w:r>
    </w:p>
    <w:p>
      <w:pPr>
        <w:pStyle w:val="Heading2"/>
      </w:pPr>
      <w:r>
        <w:t>11.11 Existing-Stack Coexistence</w:t>
      </w:r>
    </w:p>
    <w:p>
      <w:r>
        <w:t>DRE does not need to displace the customer’s existing legal-management environment to create value.</w:t>
      </w:r>
    </w:p>
    <w:p>
      <w:pPr>
        <w:pStyle w:val="ListBullet"/>
        <w:spacing w:after="60"/>
        <w:ind w:left="360" w:hanging="230"/>
      </w:pPr>
      <w:r>
        <w:t>Matter management</w:t>
      </w:r>
    </w:p>
    <w:p>
      <w:pPr>
        <w:pStyle w:val="ListBullet"/>
        <w:spacing w:after="60"/>
        <w:ind w:left="360" w:hanging="230"/>
      </w:pPr>
      <w:r>
        <w:t>Accounts payable</w:t>
      </w:r>
    </w:p>
    <w:p>
      <w:pPr>
        <w:pStyle w:val="ListBullet"/>
        <w:spacing w:after="60"/>
        <w:ind w:left="360" w:hanging="230"/>
      </w:pPr>
      <w:r>
        <w:t>E-billing</w:t>
      </w:r>
    </w:p>
    <w:p>
      <w:pPr>
        <w:pStyle w:val="ListBullet"/>
        <w:spacing w:after="60"/>
        <w:ind w:left="360" w:hanging="230"/>
      </w:pPr>
      <w:r>
        <w:t>Budgeting</w:t>
      </w:r>
    </w:p>
    <w:p>
      <w:pPr>
        <w:pStyle w:val="ListBullet"/>
        <w:spacing w:after="60"/>
        <w:ind w:left="360" w:hanging="230"/>
      </w:pPr>
      <w:r>
        <w:t>Reporting</w:t>
      </w:r>
    </w:p>
    <w:p>
      <w:pPr>
        <w:pStyle w:val="ListBullet"/>
        <w:spacing w:after="60"/>
        <w:ind w:left="360" w:hanging="230"/>
      </w:pPr>
      <w:r>
        <w:t>Document management</w:t>
      </w:r>
    </w:p>
    <w:p>
      <w:pPr>
        <w:pStyle w:val="ListBullet"/>
        <w:spacing w:after="60"/>
        <w:ind w:left="360" w:hanging="230"/>
      </w:pPr>
      <w:r>
        <w:t>Vendor management</w:t>
      </w:r>
    </w:p>
    <w:p>
      <w:pPr>
        <w:pStyle w:val="ListBullet"/>
        <w:spacing w:after="60"/>
        <w:ind w:left="360" w:hanging="230"/>
      </w:pPr>
      <w:r>
        <w:t>Financial systems</w:t>
      </w:r>
    </w:p>
    <w:p>
      <w:pPr>
        <w:pStyle w:val="Heading2"/>
      </w:pPr>
      <w:r>
        <w:t>11.12 Switching Friction</w:t>
      </w:r>
    </w:p>
    <w:p>
      <w:r>
        <w:t>Large platform replacement creates organizational motion beyond the software itself.</w:t>
      </w:r>
    </w:p>
    <w:p>
      <w:pPr>
        <w:pStyle w:val="ListBullet"/>
        <w:spacing w:after="60"/>
        <w:ind w:left="360" w:hanging="230"/>
      </w:pPr>
      <w:r>
        <w:t>Procurement</w:t>
      </w:r>
    </w:p>
    <w:p>
      <w:pPr>
        <w:pStyle w:val="ListBullet"/>
        <w:spacing w:after="60"/>
        <w:ind w:left="360" w:hanging="230"/>
      </w:pPr>
      <w:r>
        <w:t>Data migration</w:t>
      </w:r>
    </w:p>
    <w:p>
      <w:pPr>
        <w:pStyle w:val="ListBullet"/>
        <w:spacing w:after="60"/>
        <w:ind w:left="360" w:hanging="230"/>
      </w:pPr>
      <w:r>
        <w:t>Integration</w:t>
      </w:r>
    </w:p>
    <w:p>
      <w:pPr>
        <w:pStyle w:val="ListBullet"/>
        <w:spacing w:after="60"/>
        <w:ind w:left="360" w:hanging="230"/>
      </w:pPr>
      <w:r>
        <w:t>Workflow redesign</w:t>
      </w:r>
    </w:p>
    <w:p>
      <w:pPr>
        <w:pStyle w:val="ListBullet"/>
        <w:spacing w:after="60"/>
        <w:ind w:left="360" w:hanging="230"/>
      </w:pPr>
      <w:r>
        <w:t>User training</w:t>
      </w:r>
    </w:p>
    <w:p>
      <w:pPr>
        <w:pStyle w:val="ListBullet"/>
        <w:spacing w:after="60"/>
        <w:ind w:left="360" w:hanging="230"/>
      </w:pPr>
      <w:r>
        <w:t>Law-firm onboarding</w:t>
      </w:r>
    </w:p>
    <w:p>
      <w:pPr>
        <w:pStyle w:val="ListBullet"/>
        <w:spacing w:after="60"/>
        <w:ind w:left="360" w:hanging="230"/>
      </w:pPr>
      <w:r>
        <w:t>IT review</w:t>
      </w:r>
    </w:p>
    <w:p>
      <w:pPr>
        <w:pStyle w:val="ListBullet"/>
        <w:spacing w:after="60"/>
        <w:ind w:left="360" w:hanging="230"/>
      </w:pPr>
      <w:r>
        <w:t>Security review</w:t>
      </w:r>
    </w:p>
    <w:p>
      <w:pPr>
        <w:pStyle w:val="ListBullet"/>
        <w:spacing w:after="60"/>
        <w:ind w:left="360" w:hanging="230"/>
      </w:pPr>
      <w:r>
        <w:t>Configuration</w:t>
      </w:r>
    </w:p>
    <w:p>
      <w:pPr>
        <w:pStyle w:val="ListBullet"/>
        <w:spacing w:after="60"/>
        <w:ind w:left="360" w:hanging="230"/>
      </w:pPr>
      <w:r>
        <w:t>Change management</w:t>
      </w:r>
    </w:p>
    <w:p>
      <w:pPr>
        <w:pStyle w:val="ListBullet"/>
        <w:spacing w:after="60"/>
        <w:ind w:left="360" w:hanging="230"/>
      </w:pPr>
      <w:r>
        <w:t>Support transition</w:t>
      </w:r>
    </w:p>
    <w:p>
      <w:pPr>
        <w:pStyle w:val="Heading2"/>
      </w:pPr>
      <w:r>
        <w:t>11.13 Microsoft Ecosystem Position</w:t>
      </w:r>
    </w:p>
    <w:p>
      <w:r>
        <w:t>DRE’s customer-owned Azure direction reinforces the coexistence strategy.</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INTENDED PROPOSITION</w:t>
              <w:br/>
            </w:r>
            <w:r>
              <w:t>Deploy DRE into your Azure environment. Stay in your current ecosystem. Work where you already work.</w:t>
            </w:r>
          </w:p>
        </w:tc>
      </w:tr>
    </w:tbl>
    <w:p/>
    <w:p>
      <w:r>
        <w:t>The customer does not need to abandon its existing legal technology merely to gain DRE’s review capability.</w:t>
      </w:r>
    </w:p>
    <w:p>
      <w:pPr>
        <w:pStyle w:val="Heading2"/>
      </w:pPr>
      <w:r>
        <w:t>11.14 Customer-Control Position</w:t>
      </w:r>
    </w:p>
    <w:p>
      <w:r>
        <w:t>Customer-owned Azure deployment also supports a broader enterprise positioning:</w:t>
      </w:r>
    </w:p>
    <w:p>
      <w:pPr>
        <w:pStyle w:val="ListBullet"/>
        <w:spacing w:after="60"/>
        <w:ind w:left="360" w:hanging="230"/>
      </w:pPr>
      <w:r>
        <w:t>Azure administration</w:t>
      </w:r>
    </w:p>
    <w:p>
      <w:pPr>
        <w:pStyle w:val="ListBullet"/>
        <w:spacing w:after="60"/>
        <w:ind w:left="360" w:hanging="230"/>
      </w:pPr>
      <w:r>
        <w:t>Identity</w:t>
      </w:r>
    </w:p>
    <w:p>
      <w:pPr>
        <w:pStyle w:val="ListBullet"/>
        <w:spacing w:after="60"/>
        <w:ind w:left="360" w:hanging="230"/>
      </w:pPr>
      <w:r>
        <w:t>Networking</w:t>
      </w:r>
    </w:p>
    <w:p>
      <w:pPr>
        <w:pStyle w:val="ListBullet"/>
        <w:spacing w:after="60"/>
        <w:ind w:left="360" w:hanging="230"/>
      </w:pPr>
      <w:r>
        <w:t>Security</w:t>
      </w:r>
    </w:p>
    <w:p>
      <w:pPr>
        <w:pStyle w:val="ListBullet"/>
        <w:spacing w:after="60"/>
        <w:ind w:left="360" w:hanging="230"/>
      </w:pPr>
      <w:r>
        <w:t>Logging</w:t>
      </w:r>
    </w:p>
    <w:p>
      <w:pPr>
        <w:pStyle w:val="ListBullet"/>
        <w:spacing w:after="60"/>
        <w:ind w:left="360" w:hanging="230"/>
      </w:pPr>
      <w:r>
        <w:t>Access</w:t>
      </w:r>
    </w:p>
    <w:p>
      <w:pPr>
        <w:pStyle w:val="ListBullet"/>
        <w:spacing w:after="60"/>
        <w:ind w:left="360" w:hanging="230"/>
      </w:pPr>
      <w:r>
        <w:t>Governance</w:t>
      </w:r>
    </w:p>
    <w:p>
      <w:pPr>
        <w:pStyle w:val="ListBullet"/>
        <w:spacing w:after="60"/>
        <w:ind w:left="360" w:hanging="230"/>
      </w:pPr>
      <w:r>
        <w:t>Regional deployment</w:t>
      </w:r>
    </w:p>
    <w:p>
      <w:pPr>
        <w:pStyle w:val="ListBullet"/>
        <w:spacing w:after="60"/>
        <w:ind w:left="360" w:hanging="230"/>
      </w:pPr>
      <w:r>
        <w:t>Operational oversight</w:t>
      </w:r>
    </w:p>
    <w:p>
      <w:pPr>
        <w:pStyle w:val="Heading2"/>
      </w:pPr>
      <w:r>
        <w:t>11.15 Deterministic-First Differentiation</w:t>
      </w:r>
    </w:p>
    <w:p>
      <w:r>
        <w:t>DRE is not positioned as:</w:t>
      </w:r>
    </w:p>
    <w:p>
      <w:r>
        <w:t>“Send every invoice line to AI and trust whatever comes back.”</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ARCHITECTURAL HIERARCHY</w:t>
              <w:br/>
            </w:r>
            <w:r>
              <w:t>Known rule → deterministic action.</w:t>
              <w:br/>
              <w:br/>
              <w:t>Unresolved semantic issue → controlled consensus.</w:t>
              <w:br/>
              <w:br/>
              <w:t>Remaining judgment → human review.</w:t>
            </w:r>
          </w:p>
        </w:tc>
      </w:tr>
    </w:tbl>
    <w:p/>
    <w:p>
      <w:r>
        <w:t>Customers are not being asked to accept probabilistic processing where explicit rules can provide a repeatable answer.</w:t>
      </w:r>
    </w:p>
    <w:p>
      <w:pPr>
        <w:pStyle w:val="Heading2"/>
      </w:pPr>
      <w:r>
        <w:t>11.16 Consensus Differentiation</w:t>
      </w:r>
    </w:p>
    <w:p>
      <w:r>
        <w:t>Where semantic interpretation is required, DRE’s intended architecture does not rely on a single opaque model response as the complete decision system.</w:t>
      </w:r>
    </w:p>
    <w:p>
      <w:r>
        <w:t>The current implementation uses three differentiated agent roles followed by deterministic vote aggregation.</w:t>
      </w:r>
    </w:p>
    <w:p>
      <w:r>
        <w:t>The broader intended architecture expands that concept into multiple consensus rounds.</w:t>
      </w:r>
    </w:p>
    <w:p>
      <w:r>
        <w:t>The market proposition is not simply “DRE uses AI.”</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MEANINGFUL PROPOSITION</w:t>
              <w:br/>
            </w:r>
            <w:r>
              <w:t>DRE constrains where AI enters, preserves the evidence it produces, evaluates independent perspectives, and returns control to deterministic routing and human authority.</w:t>
            </w:r>
          </w:p>
        </w:tc>
      </w:tr>
    </w:tbl>
    <w:p/>
    <w:p>
      <w:pPr>
        <w:pStyle w:val="Heading2"/>
      </w:pPr>
      <w:r>
        <w:t>11.17 Human Authority as Differentiation</w:t>
      </w:r>
    </w:p>
    <w:p>
      <w:r>
        <w:t>DRE does not position automation and human judgment as opposites.</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CUSTOMER PROPOSITION</w:t>
              <w:br/>
            </w:r>
            <w:r>
              <w:t>Automate the review. Keep human authority.</w:t>
            </w:r>
          </w:p>
        </w:tc>
      </w:tr>
    </w:tbl>
    <w:p/>
    <w:p>
      <w:r>
        <w:t>The software identifies what deserves attention.</w:t>
      </w:r>
    </w:p>
    <w:p>
      <w:r>
        <w:t>The authorized human retains judgment where judgment is required.</w:t>
      </w:r>
    </w:p>
    <w:p>
      <w:pPr>
        <w:pStyle w:val="Heading2"/>
      </w:pPr>
      <w:r>
        <w:t>11.18 Auditability as Differentiation</w:t>
      </w:r>
    </w:p>
    <w:p>
      <w:r>
        <w:t>DRE is designed to preserve the path through which a result was produced.</w:t>
      </w:r>
    </w:p>
    <w:p>
      <w:pPr>
        <w:pStyle w:val="ListBullet"/>
        <w:spacing w:after="60"/>
        <w:ind w:left="360" w:hanging="230"/>
      </w:pPr>
      <w:r>
        <w:t>Internal review</w:t>
      </w:r>
    </w:p>
    <w:p>
      <w:pPr>
        <w:pStyle w:val="ListBullet"/>
        <w:spacing w:after="60"/>
        <w:ind w:left="360" w:hanging="230"/>
      </w:pPr>
      <w:r>
        <w:t>Billing discussions</w:t>
      </w:r>
    </w:p>
    <w:p>
      <w:pPr>
        <w:pStyle w:val="ListBullet"/>
        <w:spacing w:after="60"/>
        <w:ind w:left="360" w:hanging="230"/>
      </w:pPr>
      <w:r>
        <w:t>Policy refinement</w:t>
      </w:r>
    </w:p>
    <w:p>
      <w:pPr>
        <w:pStyle w:val="ListBullet"/>
        <w:spacing w:after="60"/>
        <w:ind w:left="360" w:hanging="230"/>
      </w:pPr>
      <w:r>
        <w:t>Customer governance</w:t>
      </w:r>
    </w:p>
    <w:p>
      <w:pPr>
        <w:pStyle w:val="ListBullet"/>
        <w:spacing w:after="60"/>
        <w:ind w:left="360" w:hanging="230"/>
      </w:pPr>
      <w:r>
        <w:t>System validation</w:t>
      </w:r>
    </w:p>
    <w:p>
      <w:pPr>
        <w:pStyle w:val="ListBullet"/>
        <w:spacing w:after="60"/>
        <w:ind w:left="360" w:hanging="230"/>
      </w:pPr>
      <w:r>
        <w:t>Product learning</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TARGET EVIDENCE CHAIN</w:t>
              <w:br/>
            </w:r>
            <w:r>
              <w:t>Input → deterministic findings → semantic evaluation → referee/routing → proposed action → human disposition.</w:t>
            </w:r>
          </w:p>
        </w:tc>
      </w:tr>
    </w:tbl>
    <w:p/>
    <w:p>
      <w:pPr>
        <w:pStyle w:val="Heading2"/>
      </w:pPr>
      <w:r>
        <w:t>11.19 Narrow Product Scope as Strategy</w:t>
      </w:r>
    </w:p>
    <w:p>
      <w:r>
        <w:t>DRE’s exclusions are part of its market position.</w:t>
      </w:r>
    </w:p>
    <w:p>
      <w:pPr>
        <w:pStyle w:val="ListBullet"/>
        <w:spacing w:after="60"/>
        <w:ind w:left="360" w:hanging="230"/>
      </w:pPr>
      <w:r>
        <w:t>CRM</w:t>
      </w:r>
    </w:p>
    <w:p>
      <w:pPr>
        <w:pStyle w:val="ListBullet"/>
        <w:spacing w:after="60"/>
        <w:ind w:left="360" w:hanging="230"/>
      </w:pPr>
      <w:r>
        <w:t>General matter-management platform</w:t>
      </w:r>
    </w:p>
    <w:p>
      <w:pPr>
        <w:pStyle w:val="ListBullet"/>
        <w:spacing w:after="60"/>
        <w:ind w:left="360" w:hanging="230"/>
      </w:pPr>
      <w:r>
        <w:t>Document-management system</w:t>
      </w:r>
    </w:p>
    <w:p>
      <w:pPr>
        <w:pStyle w:val="ListBullet"/>
        <w:spacing w:after="60"/>
        <w:ind w:left="360" w:hanging="230"/>
      </w:pPr>
      <w:r>
        <w:t>Timekeeping system</w:t>
      </w:r>
    </w:p>
    <w:p>
      <w:pPr>
        <w:pStyle w:val="ListBullet"/>
        <w:spacing w:after="60"/>
        <w:ind w:left="360" w:hanging="230"/>
      </w:pPr>
      <w:r>
        <w:t>Trust-accounting system</w:t>
      </w:r>
    </w:p>
    <w:p>
      <w:pPr>
        <w:pStyle w:val="ListBullet"/>
        <w:spacing w:after="60"/>
        <w:ind w:left="360" w:hanging="230"/>
      </w:pPr>
      <w:r>
        <w:t>Full accounting platform</w:t>
      </w:r>
    </w:p>
    <w:p>
      <w:pPr>
        <w:pStyle w:val="ListBullet"/>
        <w:spacing w:after="60"/>
        <w:ind w:left="360" w:hanging="230"/>
      </w:pPr>
      <w:r>
        <w:t>General practice-management suite</w:t>
      </w:r>
    </w:p>
    <w:p>
      <w:pPr>
        <w:pStyle w:val="ListBullet"/>
        <w:spacing w:after="60"/>
        <w:ind w:left="360" w:hanging="230"/>
      </w:pPr>
      <w:r>
        <w:t>Medical review system</w:t>
      </w:r>
    </w:p>
    <w:p>
      <w:pPr>
        <w:pStyle w:val="Heading2"/>
      </w:pPr>
      <w:r>
        <w:t>11.20 Competitor Strengths</w:t>
      </w:r>
    </w:p>
    <w:p>
      <w:r>
        <w:t>Market positioning also requires recognizing where established alternatives are strong.</w:t>
      </w:r>
    </w:p>
    <w:p>
      <w:pPr>
        <w:pStyle w:val="ListBullet"/>
        <w:spacing w:after="60"/>
        <w:ind w:left="360" w:hanging="230"/>
      </w:pPr>
      <w:r>
        <w:t>Broad legal-operations functionality</w:t>
      </w:r>
    </w:p>
    <w:p>
      <w:pPr>
        <w:pStyle w:val="ListBullet"/>
        <w:spacing w:after="60"/>
        <w:ind w:left="360" w:hanging="230"/>
      </w:pPr>
      <w:r>
        <w:t>Mature customer bases</w:t>
      </w:r>
    </w:p>
    <w:p>
      <w:pPr>
        <w:pStyle w:val="ListBullet"/>
        <w:spacing w:after="60"/>
        <w:ind w:left="360" w:hanging="230"/>
      </w:pPr>
      <w:r>
        <w:t>Existing integrations</w:t>
      </w:r>
    </w:p>
    <w:p>
      <w:pPr>
        <w:pStyle w:val="ListBullet"/>
        <w:spacing w:after="60"/>
        <w:ind w:left="360" w:hanging="230"/>
      </w:pPr>
      <w:r>
        <w:t>Reporting</w:t>
      </w:r>
    </w:p>
    <w:p>
      <w:pPr>
        <w:pStyle w:val="ListBullet"/>
        <w:spacing w:after="60"/>
        <w:ind w:left="360" w:hanging="230"/>
      </w:pPr>
      <w:r>
        <w:t>Matter management</w:t>
      </w:r>
    </w:p>
    <w:p>
      <w:pPr>
        <w:pStyle w:val="ListBullet"/>
        <w:spacing w:after="60"/>
        <w:ind w:left="360" w:hanging="230"/>
      </w:pPr>
      <w:r>
        <w:t>Budget management</w:t>
      </w:r>
    </w:p>
    <w:p>
      <w:pPr>
        <w:pStyle w:val="ListBullet"/>
        <w:spacing w:after="60"/>
        <w:ind w:left="360" w:hanging="230"/>
      </w:pPr>
      <w:r>
        <w:t>Vendor workflows</w:t>
      </w:r>
    </w:p>
    <w:p>
      <w:pPr>
        <w:pStyle w:val="ListBullet"/>
        <w:spacing w:after="60"/>
        <w:ind w:left="360" w:hanging="230"/>
      </w:pPr>
      <w:r>
        <w:t>Established support organizations</w:t>
      </w:r>
    </w:p>
    <w:p>
      <w:pPr>
        <w:pStyle w:val="ListBullet"/>
        <w:spacing w:after="60"/>
        <w:ind w:left="360" w:hanging="230"/>
      </w:pPr>
      <w:r>
        <w:t>Existing enterprise relationships</w:t>
      </w:r>
    </w:p>
    <w:p>
      <w:pPr>
        <w:pStyle w:val="Heading2"/>
      </w:pPr>
      <w:r>
        <w:t>11.21 Competitor Weakness Is Not the Product</w:t>
      </w:r>
    </w:p>
    <w:p>
      <w:r>
        <w:t>DRE’s long-term market position cannot depend solely on customers disliking another vendor.</w:t>
      </w:r>
    </w:p>
    <w:p>
      <w:pPr>
        <w:pStyle w:val="ListBullet"/>
        <w:spacing w:after="60"/>
        <w:ind w:left="360" w:hanging="230"/>
      </w:pPr>
      <w:r>
        <w:t>Narrow billing-review focus</w:t>
      </w:r>
    </w:p>
    <w:p>
      <w:pPr>
        <w:pStyle w:val="ListBullet"/>
        <w:spacing w:after="60"/>
        <w:ind w:left="360" w:hanging="230"/>
      </w:pPr>
      <w:r>
        <w:t>Deterministic-first processing</w:t>
      </w:r>
    </w:p>
    <w:p>
      <w:pPr>
        <w:pStyle w:val="ListBullet"/>
        <w:spacing w:after="60"/>
        <w:ind w:left="360" w:hanging="230"/>
      </w:pPr>
      <w:r>
        <w:t>Controlled semantic exception review</w:t>
      </w:r>
    </w:p>
    <w:p>
      <w:pPr>
        <w:pStyle w:val="ListBullet"/>
        <w:spacing w:after="60"/>
        <w:ind w:left="360" w:hanging="230"/>
      </w:pPr>
      <w:r>
        <w:t>Human authority</w:t>
      </w:r>
    </w:p>
    <w:p>
      <w:pPr>
        <w:pStyle w:val="ListBullet"/>
        <w:spacing w:after="60"/>
        <w:ind w:left="360" w:hanging="230"/>
      </w:pPr>
      <w:r>
        <w:t>Evidence preservation</w:t>
      </w:r>
    </w:p>
    <w:p>
      <w:pPr>
        <w:pStyle w:val="ListBullet"/>
        <w:spacing w:after="60"/>
        <w:ind w:left="360" w:hanging="230"/>
      </w:pPr>
      <w:r>
        <w:t>Simple input/output experience</w:t>
      </w:r>
    </w:p>
    <w:p>
      <w:pPr>
        <w:pStyle w:val="ListBullet"/>
        <w:spacing w:after="60"/>
        <w:ind w:left="360" w:hanging="230"/>
      </w:pPr>
      <w:r>
        <w:t>Existing-stack coexistence</w:t>
      </w:r>
    </w:p>
    <w:p>
      <w:pPr>
        <w:pStyle w:val="ListBullet"/>
        <w:spacing w:after="60"/>
        <w:ind w:left="360" w:hanging="230"/>
      </w:pPr>
      <w:r>
        <w:t>Customer-owned Azure deployment direction</w:t>
      </w:r>
    </w:p>
    <w:p>
      <w:pPr>
        <w:pStyle w:val="Heading2"/>
      </w:pPr>
      <w:r>
        <w:t>11.22 Counterpromise Discipline</w:t>
      </w:r>
    </w:p>
    <w:p>
      <w:r>
        <w:t>Every strong DRE market promise should map to an actual product or architectural behavior.</w:t>
      </w:r>
    </w:p>
    <w:tbl>
      <w:tblPr>
        <w:tblStyle w:val="TableGrid"/>
        <w:tblW w:type="auto" w:w="0"/>
        <w:jc w:val="center"/>
        <w:tblLook w:firstColumn="1" w:firstRow="1" w:lastColumn="0" w:lastRow="0" w:noHBand="0" w:noVBand="1" w:val="04A0"/>
      </w:tblPr>
      <w:tblGrid>
        <w:gridCol w:w="4939"/>
        <w:gridCol w:w="4939"/>
      </w:tblGrid>
      <w:tr>
        <w:tc>
          <w:tcPr>
            <w:tcW w:type="dxa" w:w="4939"/>
            <w:vAlign w:val="center"/>
            <w:tcMar>
              <w:top w:w="110" w:type="dxa"/>
              <w:start w:w="110" w:type="dxa"/>
              <w:bottom w:w="110" w:type="dxa"/>
              <w:end w:w="110" w:type="dxa"/>
            </w:tcMar>
            <w:shd w:fill="16324F"/>
          </w:tcPr>
          <w:p>
            <w:pPr>
              <w:spacing w:after="0"/>
            </w:pPr>
            <w:r/>
            <w:r>
              <w:rPr>
                <w:rFonts w:ascii="Aptos" w:hAnsi="Aptos"/>
                <w:b/>
                <w:color w:val="FFFFFF"/>
                <w:sz w:val="16"/>
              </w:rPr>
              <w:t>COMPLAINT</w:t>
            </w:r>
          </w:p>
        </w:tc>
        <w:tc>
          <w:tcPr>
            <w:tcW w:type="dxa" w:w="4939"/>
            <w:vAlign w:val="center"/>
            <w:tcMar>
              <w:top w:w="110" w:type="dxa"/>
              <w:start w:w="110" w:type="dxa"/>
              <w:bottom w:w="110" w:type="dxa"/>
              <w:end w:w="110" w:type="dxa"/>
            </w:tcMar>
            <w:shd w:fill="16324F"/>
          </w:tcPr>
          <w:p>
            <w:pPr>
              <w:spacing w:after="0"/>
            </w:pPr>
            <w:r/>
            <w:r>
              <w:rPr>
                <w:rFonts w:ascii="Aptos" w:hAnsi="Aptos"/>
                <w:b/>
                <w:color w:val="FFFFFF"/>
                <w:sz w:val="16"/>
              </w:rPr>
              <w:t>COUNTERPROMISE</w:t>
            </w:r>
          </w:p>
        </w:tc>
      </w:tr>
      <w:tr>
        <w:tc>
          <w:tcPr>
            <w:tcW w:type="dxa" w:w="4939"/>
            <w:vAlign w:val="center"/>
            <w:tcMar>
              <w:top w:w="110" w:type="dxa"/>
              <w:start w:w="110" w:type="dxa"/>
              <w:bottom w:w="110" w:type="dxa"/>
              <w:end w:w="110" w:type="dxa"/>
            </w:tcMar>
            <w:shd w:fill="FFFFFF"/>
          </w:tcPr>
          <w:p>
            <w:pPr>
              <w:spacing w:after="0"/>
            </w:pPr>
            <w:r/>
            <w:r>
              <w:rPr>
                <w:rFonts w:ascii="Aptos" w:hAnsi="Aptos"/>
                <w:b w:val="0"/>
                <w:color w:val="24313C"/>
                <w:sz w:val="17"/>
              </w:rPr>
              <w:t>Too much software for the job.</w:t>
            </w:r>
          </w:p>
        </w:tc>
        <w:tc>
          <w:tcPr>
            <w:tcW w:type="dxa" w:w="4939"/>
            <w:vAlign w:val="center"/>
            <w:tcMar>
              <w:top w:w="110" w:type="dxa"/>
              <w:start w:w="110" w:type="dxa"/>
              <w:bottom w:w="110" w:type="dxa"/>
              <w:end w:w="110" w:type="dxa"/>
            </w:tcMar>
            <w:shd w:fill="FFFFFF"/>
          </w:tcPr>
          <w:p>
            <w:pPr>
              <w:spacing w:after="0"/>
            </w:pPr>
            <w:r/>
            <w:r>
              <w:rPr>
                <w:rFonts w:ascii="Aptos" w:hAnsi="Aptos"/>
                <w:b w:val="0"/>
                <w:color w:val="24313C"/>
                <w:sz w:val="17"/>
              </w:rPr>
              <w:t>Focused legal-billing review rather than replacement legal-management platform.</w:t>
            </w:r>
          </w:p>
        </w:tc>
      </w:tr>
      <w:tr>
        <w:tc>
          <w:tcPr>
            <w:tcW w:type="dxa" w:w="4939"/>
            <w:vAlign w:val="center"/>
            <w:tcMar>
              <w:top w:w="110" w:type="dxa"/>
              <w:start w:w="110" w:type="dxa"/>
              <w:bottom w:w="110" w:type="dxa"/>
              <w:end w:w="110" w:type="dxa"/>
            </w:tcMar>
            <w:shd w:fill="F4F7F9"/>
          </w:tcPr>
          <w:p>
            <w:pPr>
              <w:spacing w:after="0"/>
            </w:pPr>
            <w:r/>
            <w:r>
              <w:rPr>
                <w:rFonts w:ascii="Aptos" w:hAnsi="Aptos"/>
                <w:b w:val="0"/>
                <w:color w:val="24313C"/>
                <w:sz w:val="17"/>
              </w:rPr>
              <w:t>Too much manual review.</w:t>
            </w:r>
          </w:p>
        </w:tc>
        <w:tc>
          <w:tcPr>
            <w:tcW w:type="dxa" w:w="4939"/>
            <w:vAlign w:val="center"/>
            <w:tcMar>
              <w:top w:w="110" w:type="dxa"/>
              <w:start w:w="110" w:type="dxa"/>
              <w:bottom w:w="110" w:type="dxa"/>
              <w:end w:w="110" w:type="dxa"/>
            </w:tcMar>
            <w:shd w:fill="F4F7F9"/>
          </w:tcPr>
          <w:p>
            <w:pPr>
              <w:spacing w:after="0"/>
            </w:pPr>
            <w:r/>
            <w:r>
              <w:rPr>
                <w:rFonts w:ascii="Aptos" w:hAnsi="Aptos"/>
                <w:b w:val="0"/>
                <w:color w:val="24313C"/>
                <w:sz w:val="17"/>
              </w:rPr>
              <w:t>Deterministic early exit and controlled semantic review reduce the population requiring human attention.</w:t>
            </w:r>
          </w:p>
        </w:tc>
      </w:tr>
      <w:tr>
        <w:tc>
          <w:tcPr>
            <w:tcW w:type="dxa" w:w="4939"/>
            <w:vAlign w:val="center"/>
            <w:tcMar>
              <w:top w:w="110" w:type="dxa"/>
              <w:start w:w="110" w:type="dxa"/>
              <w:bottom w:w="110" w:type="dxa"/>
              <w:end w:w="110" w:type="dxa"/>
            </w:tcMar>
            <w:shd w:fill="FFFFFF"/>
          </w:tcPr>
          <w:p>
            <w:pPr>
              <w:spacing w:after="0"/>
            </w:pPr>
            <w:r/>
            <w:r>
              <w:rPr>
                <w:rFonts w:ascii="Aptos" w:hAnsi="Aptos"/>
                <w:b w:val="0"/>
                <w:color w:val="24313C"/>
                <w:sz w:val="17"/>
              </w:rPr>
              <w:t>Rejection logic is difficult to understand.</w:t>
            </w:r>
          </w:p>
        </w:tc>
        <w:tc>
          <w:tcPr>
            <w:tcW w:type="dxa" w:w="4939"/>
            <w:vAlign w:val="center"/>
            <w:tcMar>
              <w:top w:w="110" w:type="dxa"/>
              <w:start w:w="110" w:type="dxa"/>
              <w:bottom w:w="110" w:type="dxa"/>
              <w:end w:w="110" w:type="dxa"/>
            </w:tcMar>
            <w:shd w:fill="FFFFFF"/>
          </w:tcPr>
          <w:p>
            <w:pPr>
              <w:spacing w:after="0"/>
            </w:pPr>
            <w:r/>
            <w:r>
              <w:rPr>
                <w:rFonts w:ascii="Aptos" w:hAnsi="Aptos"/>
                <w:b w:val="0"/>
                <w:color w:val="24313C"/>
                <w:sz w:val="17"/>
              </w:rPr>
              <w:t>Preserve the rule, finding, processing path, and reason.</w:t>
            </w:r>
          </w:p>
        </w:tc>
      </w:tr>
      <w:tr>
        <w:tc>
          <w:tcPr>
            <w:tcW w:type="dxa" w:w="4939"/>
            <w:vAlign w:val="center"/>
            <w:tcMar>
              <w:top w:w="110" w:type="dxa"/>
              <w:start w:w="110" w:type="dxa"/>
              <w:bottom w:w="110" w:type="dxa"/>
              <w:end w:w="110" w:type="dxa"/>
            </w:tcMar>
            <w:shd w:fill="F4F7F9"/>
          </w:tcPr>
          <w:p>
            <w:pPr>
              <w:spacing w:after="0"/>
            </w:pPr>
            <w:r/>
            <w:r>
              <w:rPr>
                <w:rFonts w:ascii="Aptos" w:hAnsi="Aptos"/>
                <w:b w:val="0"/>
                <w:color w:val="24313C"/>
                <w:sz w:val="17"/>
              </w:rPr>
              <w:t>Another platform creates implementation burden.</w:t>
            </w:r>
          </w:p>
        </w:tc>
        <w:tc>
          <w:tcPr>
            <w:tcW w:type="dxa" w:w="4939"/>
            <w:vAlign w:val="center"/>
            <w:tcMar>
              <w:top w:w="110" w:type="dxa"/>
              <w:start w:w="110" w:type="dxa"/>
              <w:bottom w:w="110" w:type="dxa"/>
              <w:end w:w="110" w:type="dxa"/>
            </w:tcMar>
            <w:shd w:fill="F4F7F9"/>
          </w:tcPr>
          <w:p>
            <w:pPr>
              <w:spacing w:after="0"/>
            </w:pPr>
            <w:r/>
            <w:r>
              <w:rPr>
                <w:rFonts w:ascii="Aptos" w:hAnsi="Aptos"/>
                <w:b w:val="0"/>
                <w:color w:val="24313C"/>
                <w:sz w:val="17"/>
              </w:rPr>
              <w:t>Coexist with the customer’s existing systems and deploy within the customer’s Azure environment.</w:t>
            </w:r>
          </w:p>
        </w:tc>
      </w:tr>
      <w:tr>
        <w:tc>
          <w:tcPr>
            <w:tcW w:type="dxa" w:w="4939"/>
            <w:vAlign w:val="center"/>
            <w:tcMar>
              <w:top w:w="110" w:type="dxa"/>
              <w:start w:w="110" w:type="dxa"/>
              <w:bottom w:w="110" w:type="dxa"/>
              <w:end w:w="110" w:type="dxa"/>
            </w:tcMar>
            <w:shd w:fill="FFFFFF"/>
          </w:tcPr>
          <w:p>
            <w:pPr>
              <w:spacing w:after="0"/>
            </w:pPr>
            <w:r/>
            <w:r>
              <w:rPr>
                <w:rFonts w:ascii="Aptos" w:hAnsi="Aptos"/>
                <w:b w:val="0"/>
                <w:color w:val="24313C"/>
                <w:sz w:val="17"/>
              </w:rPr>
              <w:t>AI decisions are difficult to trust.</w:t>
            </w:r>
          </w:p>
        </w:tc>
        <w:tc>
          <w:tcPr>
            <w:tcW w:type="dxa" w:w="4939"/>
            <w:vAlign w:val="center"/>
            <w:tcMar>
              <w:top w:w="110" w:type="dxa"/>
              <w:start w:w="110" w:type="dxa"/>
              <w:bottom w:w="110" w:type="dxa"/>
              <w:end w:w="110" w:type="dxa"/>
            </w:tcMar>
            <w:shd w:fill="FFFFFF"/>
          </w:tcPr>
          <w:p>
            <w:pPr>
              <w:spacing w:after="0"/>
            </w:pPr>
            <w:r/>
            <w:r>
              <w:rPr>
                <w:rFonts w:ascii="Aptos" w:hAnsi="Aptos"/>
                <w:b w:val="0"/>
                <w:color w:val="24313C"/>
                <w:sz w:val="17"/>
              </w:rPr>
              <w:t>Deterministic first, constrained consensus where appropriate, deterministic routing, human authority.</w:t>
            </w:r>
          </w:p>
        </w:tc>
      </w:tr>
    </w:tbl>
    <w:p/>
    <w:p>
      <w:r>
        <w:t>The counterpromise becomes credible only when DRE’s implementation demonstrates it.</w:t>
      </w:r>
    </w:p>
    <w:p>
      <w:pPr>
        <w:pStyle w:val="Heading2"/>
      </w:pPr>
      <w:r>
        <w:t>11.23 Customer Pain as Architecture Input</w:t>
      </w:r>
    </w:p>
    <w:p>
      <w:r>
        <w:t>Market research should therefore continue feeding the product architecture.</w:t>
      </w:r>
    </w:p>
    <w:p>
      <w:pPr>
        <w:pStyle w:val="ListBullet"/>
        <w:spacing w:after="60"/>
        <w:ind w:left="360" w:hanging="230"/>
      </w:pPr>
      <w:r>
        <w:t>Feature requirement</w:t>
      </w:r>
    </w:p>
    <w:p>
      <w:pPr>
        <w:pStyle w:val="ListBullet"/>
        <w:spacing w:after="60"/>
        <w:ind w:left="360" w:hanging="230"/>
      </w:pPr>
      <w:r>
        <w:t>Architecture requirement</w:t>
      </w:r>
    </w:p>
    <w:p>
      <w:pPr>
        <w:pStyle w:val="ListBullet"/>
        <w:spacing w:after="60"/>
        <w:ind w:left="360" w:hanging="230"/>
      </w:pPr>
      <w:r>
        <w:t>UX requirement</w:t>
      </w:r>
    </w:p>
    <w:p>
      <w:pPr>
        <w:pStyle w:val="ListBullet"/>
        <w:spacing w:after="60"/>
        <w:ind w:left="360" w:hanging="230"/>
      </w:pPr>
      <w:r>
        <w:t>Deliberate exclusion</w:t>
      </w:r>
    </w:p>
    <w:p>
      <w:pPr>
        <w:pStyle w:val="ListBullet"/>
        <w:spacing w:after="60"/>
        <w:ind w:left="360" w:hanging="230"/>
      </w:pPr>
      <w:r>
        <w:t>Non-product issue</w:t>
      </w:r>
    </w:p>
    <w:p>
      <w:r>
        <w:t>This keeps DRE responsive to the market without turning every complaint into another feature.</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PRODUCT QUESTION</w:t>
              <w:br/>
            </w:r>
            <w:r>
              <w:t>Does solving this materially improve the specialized billing-review job DRE exists to perform?</w:t>
            </w:r>
          </w:p>
        </w:tc>
      </w:tr>
    </w:tbl>
    <w:p/>
    <w:p>
      <w:pPr>
        <w:pStyle w:val="Heading2"/>
      </w:pPr>
      <w:r>
        <w:t>11.24 Market Positioning Statement</w:t>
      </w:r>
    </w:p>
    <w:p>
      <w:r>
        <w:t>DRE’s emerging market position can be summarized as:</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MARKET POSITIONING STATEMENT</w:t>
              <w:br/>
            </w:r>
            <w:r>
              <w:t>DRE is a focused legal-billing review layer for corporate legal departments. It applies deterministic controls first, uses controlled AI consensus for appropriate semantic exceptions, isolates the transactions that require human judgment, and returns understandable results—without requiring the customer to replace the legal systems it already uses.</w:t>
            </w:r>
          </w:p>
        </w:tc>
      </w:tr>
    </w:tbl>
    <w:p/>
    <w:p>
      <w:r>
        <w:t>The intended deployment model strengthens that position:</w:t>
      </w:r>
    </w:p>
    <w:p>
      <w:r>
        <w:t>DRE operates in the customer’s Azure environment and Microsoft ecosystem rather than asking the customer to move its legal-billing workflow into another oversized platform.</w:t>
      </w:r>
    </w:p>
    <w:p>
      <w:pPr>
        <w:pStyle w:val="Heading2"/>
      </w:pPr>
      <w:r>
        <w:t>11.25 Competitive Principle</w:t>
      </w:r>
    </w:p>
    <w:p>
      <w:r>
        <w:t>The competitive principle is:</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COMPETITIVE PRINCIPLE</w:t>
              <w:br/>
            </w:r>
            <w:r>
              <w:t>DRE does not need to do everything the incumbent platforms do.</w:t>
            </w:r>
          </w:p>
        </w:tc>
      </w:tr>
    </w:tbl>
    <w:p/>
    <w:p>
      <w:r>
        <w:t>That would defeat the point.</w:t>
      </w:r>
    </w:p>
    <w:p>
      <w:r>
        <w:t>It needs to perform its chosen job extremely well:</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CHOSEN JOB</w:t>
              <w:br/>
            </w:r>
            <w:r>
              <w:t>Take the bill. Apply the rules. Interpret the exceptions. Preserve the evidence. Isolate the judgment. Return the answer.</w:t>
            </w:r>
          </w:p>
        </w:tc>
      </w:tr>
    </w:tbl>
    <w:p/>
    <w:p>
      <w:r>
        <w:t>That is the market position behind:</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PRODUCT PHILOSOPHY</w:t>
              <w:br/>
            </w:r>
            <w:r>
              <w:t>Computationally sophisticated. Operationally simple.</w:t>
            </w:r>
          </w:p>
        </w:tc>
      </w:tr>
    </w:tbl>
    <w:p/>
    <w:p>
      <w:r>
        <w:br w:type="page"/>
      </w:r>
    </w:p>
    <w:p>
      <w:pPr>
        <w:pStyle w:val="Heading1"/>
      </w:pPr>
      <w:r>
        <w:t>12. Commercial Model</w:t>
      </w:r>
    </w:p>
    <w:p>
      <w:r>
        <w:t>DRE’s commercial model should preserve the same operating principle as the product itself:</w:t>
      </w:r>
    </w:p>
    <w:p>
      <w:r>
        <w:t>Start focused, prove value, learn from real customers, and expand deliberately.</w:t>
      </w:r>
    </w:p>
    <w:p>
      <w:r>
        <w:t>DRE is not entering the market as a completed mass-market legal software platform with a mature standardized pricing model. It is moving from working demonstration into evaluator use, design-partner engagement, customer deployment, and progressively hardened enterprise operation.</w:t>
      </w:r>
    </w:p>
    <w:p>
      <w:r>
        <w:t>The commercial model therefore needs to support the stage DRE is actually in.</w:t>
      </w:r>
    </w:p>
    <w:p>
      <w:r>
        <w:t>The immediate objective is not to invent every future package and price. It is to create a credible path from:</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COMMERCIAL PATH</w:t>
              <w:br/>
            </w:r>
            <w:r>
              <w:t>Free evaluation → serious organizational interest → design-partner/customer engagement → customer Azure deployment → recurring commercial relationship.</w:t>
            </w:r>
          </w:p>
        </w:tc>
      </w:tr>
    </w:tbl>
    <w:p/>
    <w:p>
      <w:pPr>
        <w:pStyle w:val="Heading2"/>
      </w:pPr>
      <w:r>
        <w:t>12.1 Commercial Starting Position</w:t>
      </w:r>
    </w:p>
    <w:p>
      <w:r>
        <w:t>DRE’s initial commercial position is a specialized legal-billing review product for organizations managing outside-counsel spend.</w:t>
      </w:r>
    </w:p>
    <w:p>
      <w:pPr>
        <w:pStyle w:val="ListBullet"/>
        <w:spacing w:after="60"/>
        <w:ind w:left="360" w:hanging="230"/>
      </w:pPr>
      <w:r>
        <w:t>General counsel</w:t>
      </w:r>
    </w:p>
    <w:p>
      <w:pPr>
        <w:pStyle w:val="ListBullet"/>
        <w:spacing w:after="60"/>
        <w:ind w:left="360" w:hanging="230"/>
      </w:pPr>
      <w:r>
        <w:t>Legal operations leadership</w:t>
      </w:r>
    </w:p>
    <w:p>
      <w:pPr>
        <w:pStyle w:val="ListBullet"/>
        <w:spacing w:after="60"/>
        <w:ind w:left="360" w:hanging="230"/>
      </w:pPr>
      <w:r>
        <w:t>Legal finance</w:t>
      </w:r>
    </w:p>
    <w:p>
      <w:pPr>
        <w:pStyle w:val="ListBullet"/>
        <w:spacing w:after="60"/>
        <w:ind w:left="360" w:hanging="230"/>
      </w:pPr>
      <w:r>
        <w:t>Corporate legal departments</w:t>
      </w:r>
    </w:p>
    <w:p>
      <w:pPr>
        <w:pStyle w:val="ListBullet"/>
        <w:spacing w:after="60"/>
        <w:ind w:left="360" w:hanging="230"/>
      </w:pPr>
      <w:r>
        <w:t>Procurement</w:t>
      </w:r>
    </w:p>
    <w:p>
      <w:pPr>
        <w:pStyle w:val="ListBullet"/>
        <w:spacing w:after="60"/>
        <w:ind w:left="360" w:hanging="230"/>
      </w:pPr>
      <w:r>
        <w:t>Enterprise technology</w:t>
      </w:r>
    </w:p>
    <w:p>
      <w:pPr>
        <w:pStyle w:val="ListBullet"/>
        <w:spacing w:after="60"/>
        <w:ind w:left="360" w:hanging="230"/>
      </w:pPr>
      <w:r>
        <w:t>Information security</w:t>
      </w:r>
    </w:p>
    <w:p>
      <w:pPr>
        <w:pStyle w:val="Heading2"/>
      </w:pPr>
      <w:r>
        <w:t>12.2 Free Evaluation</w:t>
      </w:r>
    </w:p>
    <w:p>
      <w:r>
        <w:t>The working public demonstration provides the first stage of the commercial funnel.</w:t>
      </w:r>
    </w:p>
    <w:p>
      <w:pPr>
        <w:pStyle w:val="ListBullet"/>
        <w:spacing w:after="60"/>
        <w:ind w:left="360" w:hanging="230"/>
      </w:pPr>
      <w:r>
        <w:t>Feedback</w:t>
      </w:r>
    </w:p>
    <w:p>
      <w:pPr>
        <w:pStyle w:val="ListBullet"/>
        <w:spacing w:after="60"/>
        <w:ind w:left="360" w:hanging="230"/>
      </w:pPr>
      <w:r>
        <w:t>Waitlist participation</w:t>
      </w:r>
    </w:p>
    <w:p>
      <w:pPr>
        <w:pStyle w:val="ListBullet"/>
        <w:spacing w:after="60"/>
        <w:ind w:left="360" w:hanging="230"/>
      </w:pPr>
      <w:r>
        <w:t>Early access</w:t>
      </w:r>
    </w:p>
    <w:p>
      <w:pPr>
        <w:pStyle w:val="ListBullet"/>
        <w:spacing w:after="60"/>
        <w:ind w:left="360" w:hanging="230"/>
      </w:pPr>
      <w:r>
        <w:t>Design-partner conversations</w:t>
      </w:r>
    </w:p>
    <w:p>
      <w:pPr>
        <w:pStyle w:val="ListBullet"/>
        <w:spacing w:after="60"/>
        <w:ind w:left="360" w:hanging="230"/>
      </w:pPr>
      <w:r>
        <w:t>Technical evaluation</w:t>
      </w:r>
    </w:p>
    <w:p>
      <w:pPr>
        <w:pStyle w:val="ListBullet"/>
        <w:spacing w:after="60"/>
        <w:ind w:left="360" w:hanging="230"/>
      </w:pPr>
      <w:r>
        <w:t>Customer discussions</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PURPOSE OF FREE EVALUATION</w:t>
              <w:br/>
            </w:r>
            <w:r>
              <w:t>Reduce the distance between “Tell me what this does.” and “I have seen what this does.”</w:t>
            </w:r>
          </w:p>
        </w:tc>
      </w:tr>
    </w:tbl>
    <w:p/>
    <w:p>
      <w:pPr>
        <w:pStyle w:val="Heading2"/>
      </w:pPr>
      <w:r>
        <w:t>12.3 Early Access</w:t>
      </w:r>
    </w:p>
    <w:p>
      <w:r>
        <w:t>Early access represents a deeper relationship than anonymous demo use.</w:t>
      </w:r>
    </w:p>
    <w:p>
      <w:pPr>
        <w:pStyle w:val="ListBullet"/>
        <w:spacing w:after="60"/>
        <w:ind w:left="360" w:hanging="230"/>
      </w:pPr>
      <w:r>
        <w:t>Continued product evaluation</w:t>
      </w:r>
    </w:p>
    <w:p>
      <w:pPr>
        <w:pStyle w:val="ListBullet"/>
        <w:spacing w:after="60"/>
        <w:ind w:left="360" w:hanging="230"/>
      </w:pPr>
      <w:r>
        <w:t>Workflow feedback</w:t>
      </w:r>
    </w:p>
    <w:p>
      <w:pPr>
        <w:pStyle w:val="ListBullet"/>
        <w:spacing w:after="60"/>
        <w:ind w:left="360" w:hanging="230"/>
      </w:pPr>
      <w:r>
        <w:t>Billing-review requirements</w:t>
      </w:r>
    </w:p>
    <w:p>
      <w:pPr>
        <w:pStyle w:val="ListBullet"/>
        <w:spacing w:after="60"/>
        <w:ind w:left="360" w:hanging="230"/>
      </w:pPr>
      <w:r>
        <w:t>File-format requirements</w:t>
      </w:r>
    </w:p>
    <w:p>
      <w:pPr>
        <w:pStyle w:val="ListBullet"/>
        <w:spacing w:after="60"/>
        <w:ind w:left="360" w:hanging="230"/>
      </w:pPr>
      <w:r>
        <w:t>OCG requirements</w:t>
      </w:r>
    </w:p>
    <w:p>
      <w:pPr>
        <w:pStyle w:val="ListBullet"/>
        <w:spacing w:after="60"/>
        <w:ind w:left="360" w:hanging="230"/>
      </w:pPr>
      <w:r>
        <w:t>Security questions</w:t>
      </w:r>
    </w:p>
    <w:p>
      <w:pPr>
        <w:pStyle w:val="ListBullet"/>
        <w:spacing w:after="60"/>
        <w:ind w:left="360" w:hanging="230"/>
      </w:pPr>
      <w:r>
        <w:t>Deployment requirements</w:t>
      </w:r>
    </w:p>
    <w:p>
      <w:pPr>
        <w:pStyle w:val="ListBullet"/>
        <w:spacing w:after="60"/>
        <w:ind w:left="360" w:hanging="230"/>
      </w:pPr>
      <w:r>
        <w:t>UX feedback</w:t>
      </w:r>
    </w:p>
    <w:p>
      <w:pPr>
        <w:pStyle w:val="ListBullet"/>
        <w:spacing w:after="60"/>
        <w:ind w:left="360" w:hanging="230"/>
      </w:pPr>
      <w:r>
        <w:t>Commercial feedback</w:t>
      </w:r>
    </w:p>
    <w:p>
      <w:pPr>
        <w:pStyle w:val="Heading2"/>
      </w:pPr>
      <w:r>
        <w:t>12.4 Design Partners</w:t>
      </w:r>
    </w:p>
    <w:p>
      <w:r>
        <w:t>The initial commercial model includes the possibility of a small number of design-partner customers.</w:t>
      </w:r>
    </w:p>
    <w:p>
      <w:pPr>
        <w:pStyle w:val="ListBullet"/>
        <w:spacing w:after="60"/>
        <w:ind w:left="360" w:hanging="230"/>
      </w:pPr>
      <w:r>
        <w:t>Existing billing workflow information</w:t>
      </w:r>
    </w:p>
    <w:p>
      <w:pPr>
        <w:pStyle w:val="ListBullet"/>
        <w:spacing w:after="60"/>
        <w:ind w:left="360" w:hanging="230"/>
      </w:pPr>
      <w:r>
        <w:t>Representative OCG requirements</w:t>
      </w:r>
    </w:p>
    <w:p>
      <w:pPr>
        <w:pStyle w:val="ListBullet"/>
        <w:spacing w:after="60"/>
        <w:ind w:left="360" w:hanging="230"/>
      </w:pPr>
      <w:r>
        <w:t>Billing-format requirements</w:t>
      </w:r>
    </w:p>
    <w:p>
      <w:pPr>
        <w:pStyle w:val="ListBullet"/>
        <w:spacing w:after="60"/>
        <w:ind w:left="360" w:hanging="230"/>
      </w:pPr>
      <w:r>
        <w:t>Review-process requirements</w:t>
      </w:r>
    </w:p>
    <w:p>
      <w:pPr>
        <w:pStyle w:val="ListBullet"/>
        <w:spacing w:after="60"/>
        <w:ind w:left="360" w:hanging="230"/>
      </w:pPr>
      <w:r>
        <w:t>Security requirements</w:t>
      </w:r>
    </w:p>
    <w:p>
      <w:pPr>
        <w:pStyle w:val="ListBullet"/>
        <w:spacing w:after="60"/>
        <w:ind w:left="360" w:hanging="230"/>
      </w:pPr>
      <w:r>
        <w:t>Azure requirements</w:t>
      </w:r>
    </w:p>
    <w:p>
      <w:pPr>
        <w:pStyle w:val="ListBullet"/>
        <w:spacing w:after="60"/>
        <w:ind w:left="360" w:hanging="230"/>
      </w:pPr>
      <w:r>
        <w:t>Human-review expectations</w:t>
      </w:r>
    </w:p>
    <w:p>
      <w:pPr>
        <w:pStyle w:val="ListBullet"/>
        <w:spacing w:after="60"/>
        <w:ind w:left="360" w:hanging="230"/>
      </w:pPr>
      <w:r>
        <w:t>Output requirements</w:t>
      </w:r>
    </w:p>
    <w:p>
      <w:pPr>
        <w:pStyle w:val="ListBullet"/>
        <w:spacing w:after="60"/>
        <w:ind w:left="360" w:hanging="230"/>
      </w:pPr>
      <w:r>
        <w:t>Integration requirements</w:t>
      </w:r>
    </w:p>
    <w:p>
      <w:pPr>
        <w:pStyle w:val="ListBullet"/>
        <w:spacing w:after="60"/>
        <w:ind w:left="360" w:hanging="230"/>
      </w:pPr>
      <w:r>
        <w:t>Deployment feedback</w:t>
      </w:r>
    </w:p>
    <w:p>
      <w:pPr>
        <w:pStyle w:val="ListBullet"/>
        <w:spacing w:after="60"/>
        <w:ind w:left="360" w:hanging="230"/>
      </w:pPr>
      <w:r>
        <w:t>Product feedback</w:t>
      </w:r>
    </w:p>
    <w:p>
      <w:pPr>
        <w:pStyle w:val="Heading2"/>
      </w:pPr>
      <w:r>
        <w:t>12.5 Initial Commercial Offer</w:t>
      </w:r>
    </w:p>
    <w:p>
      <w:r>
        <w:t>The working commercial hypothesis discussed for the first serious design-partner engagements is a $10,000 initial engagement.</w:t>
      </w:r>
    </w:p>
    <w:p>
      <w:r>
        <w:t>The concept is straightforward:</w:t>
      </w:r>
    </w:p>
    <w:p>
      <w:pPr>
        <w:pStyle w:val="ListBullet"/>
        <w:spacing w:after="60"/>
        <w:ind w:left="360" w:hanging="230"/>
      </w:pPr>
      <w:r>
        <w:t>The customer makes a meaningful financial commitment.</w:t>
      </w:r>
    </w:p>
    <w:p>
      <w:pPr>
        <w:pStyle w:val="ListBullet"/>
        <w:spacing w:after="60"/>
        <w:ind w:left="360" w:hanging="230"/>
      </w:pPr>
      <w:r>
        <w:t>DRE works directly with that organization.</w:t>
      </w:r>
    </w:p>
    <w:p>
      <w:pPr>
        <w:pStyle w:val="ListBullet"/>
        <w:spacing w:after="60"/>
        <w:ind w:left="360" w:hanging="230"/>
      </w:pPr>
      <w:r>
        <w:t>The organization receives an opportunity to evaluate and influence the product in a real commercial relationship.</w:t>
      </w:r>
    </w:p>
    <w:p>
      <w:pPr>
        <w:pStyle w:val="ListBullet"/>
        <w:spacing w:after="60"/>
        <w:ind w:left="360" w:hanging="230"/>
      </w:pPr>
      <w:r>
        <w:t>Engineered Launch receives both revenue and higher-quality product evidence than a purely free evaluation can provide.</w:t>
      </w:r>
    </w:p>
    <w:p>
      <w:r>
        <w:t>This remains an initial commercial hypothesis, not a finalized universal DRE price schedule.</w:t>
      </w:r>
    </w:p>
    <w:p>
      <w:r>
        <w:t>It should be validated through actual customer conversations before being treated as permanent pricing architecture.</w:t>
      </w:r>
    </w:p>
    <w:p>
      <w:pPr>
        <w:pStyle w:val="Heading2"/>
      </w:pPr>
      <w:r>
        <w:t>12.6 Meaning of the Initial Engagement</w:t>
      </w:r>
    </w:p>
    <w:p>
      <w:r>
        <w:t>The initial engagement should represent more than access to a website.</w:t>
      </w:r>
    </w:p>
    <w:p>
      <w:pPr>
        <w:pStyle w:val="ListBullet"/>
        <w:spacing w:after="60"/>
        <w:ind w:left="360" w:hanging="230"/>
      </w:pPr>
      <w:r>
        <w:t>Product access</w:t>
      </w:r>
    </w:p>
    <w:p>
      <w:pPr>
        <w:pStyle w:val="ListBullet"/>
        <w:spacing w:after="60"/>
        <w:ind w:left="360" w:hanging="230"/>
      </w:pPr>
      <w:r>
        <w:t>Direct engagement</w:t>
      </w:r>
    </w:p>
    <w:p>
      <w:pPr>
        <w:pStyle w:val="ListBullet"/>
        <w:spacing w:after="60"/>
        <w:ind w:left="360" w:hanging="230"/>
      </w:pPr>
      <w:r>
        <w:t>Customer-specific evaluation</w:t>
      </w:r>
    </w:p>
    <w:p>
      <w:pPr>
        <w:pStyle w:val="ListBullet"/>
        <w:spacing w:after="60"/>
        <w:ind w:left="360" w:hanging="230"/>
      </w:pPr>
      <w:r>
        <w:t>Deployment planning</w:t>
      </w:r>
    </w:p>
    <w:p>
      <w:pPr>
        <w:pStyle w:val="ListBullet"/>
        <w:spacing w:after="60"/>
        <w:ind w:left="360" w:hanging="230"/>
      </w:pPr>
      <w:r>
        <w:t>Workflow understanding</w:t>
      </w:r>
    </w:p>
    <w:p>
      <w:pPr>
        <w:pStyle w:val="ListBullet"/>
        <w:spacing w:after="60"/>
        <w:ind w:left="360" w:hanging="230"/>
      </w:pPr>
      <w:r>
        <w:t>OCG/policy understanding</w:t>
      </w:r>
    </w:p>
    <w:p>
      <w:pPr>
        <w:pStyle w:val="ListBullet"/>
        <w:spacing w:after="60"/>
        <w:ind w:left="360" w:hanging="230"/>
      </w:pPr>
      <w:r>
        <w:t>Product feedback</w:t>
      </w:r>
    </w:p>
    <w:p>
      <w:pPr>
        <w:pStyle w:val="ListBullet"/>
        <w:spacing w:after="60"/>
        <w:ind w:left="360" w:hanging="230"/>
      </w:pPr>
      <w:r>
        <w:t>Technical evaluation</w:t>
      </w:r>
    </w:p>
    <w:p>
      <w:pPr>
        <w:pStyle w:val="ListBullet"/>
        <w:spacing w:after="60"/>
        <w:ind w:left="360" w:hanging="230"/>
      </w:pPr>
      <w:r>
        <w:t>Commercial learning</w:t>
      </w:r>
    </w:p>
    <w:p>
      <w:pPr>
        <w:pStyle w:val="Heading2"/>
      </w:pPr>
      <w:r>
        <w:t>12.7 Early Customers</w:t>
      </w:r>
    </w:p>
    <w:p>
      <w:r>
        <w:t>Early customers will likely require more direct involvement than later standardized customers.</w:t>
      </w:r>
    </w:p>
    <w:p>
      <w:pPr>
        <w:pStyle w:val="ListBullet"/>
        <w:spacing w:after="60"/>
        <w:ind w:left="360" w:hanging="230"/>
      </w:pPr>
      <w:r>
        <w:t>Customer discovery</w:t>
      </w:r>
    </w:p>
    <w:p>
      <w:pPr>
        <w:pStyle w:val="ListBullet"/>
        <w:spacing w:after="60"/>
        <w:ind w:left="360" w:hanging="230"/>
      </w:pPr>
      <w:r>
        <w:t>Environment review</w:t>
      </w:r>
    </w:p>
    <w:p>
      <w:pPr>
        <w:pStyle w:val="ListBullet"/>
        <w:spacing w:after="60"/>
        <w:ind w:left="360" w:hanging="230"/>
      </w:pPr>
      <w:r>
        <w:t>Azure deployment planning</w:t>
      </w:r>
    </w:p>
    <w:p>
      <w:pPr>
        <w:pStyle w:val="ListBullet"/>
        <w:spacing w:after="60"/>
        <w:ind w:left="360" w:hanging="230"/>
      </w:pPr>
      <w:r>
        <w:t>Security discussion</w:t>
      </w:r>
    </w:p>
    <w:p>
      <w:pPr>
        <w:pStyle w:val="ListBullet"/>
        <w:spacing w:after="60"/>
        <w:ind w:left="360" w:hanging="230"/>
      </w:pPr>
      <w:r>
        <w:t>Billing-file review</w:t>
      </w:r>
    </w:p>
    <w:p>
      <w:pPr>
        <w:pStyle w:val="ListBullet"/>
        <w:spacing w:after="60"/>
        <w:ind w:left="360" w:hanging="230"/>
      </w:pPr>
      <w:r>
        <w:t>OCG review</w:t>
      </w:r>
    </w:p>
    <w:p>
      <w:pPr>
        <w:pStyle w:val="ListBullet"/>
        <w:spacing w:after="60"/>
        <w:ind w:left="360" w:hanging="230"/>
      </w:pPr>
      <w:r>
        <w:t>Configuration</w:t>
      </w:r>
    </w:p>
    <w:p>
      <w:pPr>
        <w:pStyle w:val="ListBullet"/>
        <w:spacing w:after="60"/>
        <w:ind w:left="360" w:hanging="230"/>
      </w:pPr>
      <w:r>
        <w:t>Validation</w:t>
      </w:r>
    </w:p>
    <w:p>
      <w:pPr>
        <w:pStyle w:val="ListBullet"/>
        <w:spacing w:after="60"/>
        <w:ind w:left="360" w:hanging="230"/>
      </w:pPr>
      <w:r>
        <w:t>User onboarding</w:t>
      </w:r>
    </w:p>
    <w:p>
      <w:pPr>
        <w:pStyle w:val="ListBullet"/>
        <w:spacing w:after="60"/>
        <w:ind w:left="360" w:hanging="230"/>
      </w:pPr>
      <w:r>
        <w:t>Feedback sessions</w:t>
      </w:r>
    </w:p>
    <w:p>
      <w:pPr>
        <w:pStyle w:val="ListBullet"/>
        <w:spacing w:after="60"/>
        <w:ind w:left="360" w:hanging="230"/>
      </w:pPr>
      <w:r>
        <w:t>Deployment support</w:t>
      </w:r>
    </w:p>
    <w:p>
      <w:pPr>
        <w:pStyle w:val="Heading2"/>
      </w:pPr>
      <w:r>
        <w:t>12.8 Productization Discipline</w:t>
      </w:r>
    </w:p>
    <w:p>
      <w:r>
        <w:t>Early customer requests should be evaluated against DRE’s product boundary.</w:t>
      </w:r>
    </w:p>
    <w:p>
      <w:pPr>
        <w:pStyle w:val="ListBullet"/>
        <w:spacing w:after="60"/>
        <w:ind w:left="360" w:hanging="230"/>
      </w:pPr>
      <w:r>
        <w:t>Standard product functionality</w:t>
      </w:r>
    </w:p>
    <w:p>
      <w:pPr>
        <w:pStyle w:val="ListBullet"/>
        <w:spacing w:after="60"/>
        <w:ind w:left="360" w:hanging="230"/>
      </w:pPr>
      <w:r>
        <w:t>Customer configuration</w:t>
      </w:r>
    </w:p>
    <w:p>
      <w:pPr>
        <w:pStyle w:val="ListBullet"/>
        <w:spacing w:after="60"/>
        <w:ind w:left="360" w:hanging="230"/>
      </w:pPr>
      <w:r>
        <w:t>Integration capability</w:t>
      </w:r>
    </w:p>
    <w:p>
      <w:pPr>
        <w:pStyle w:val="ListBullet"/>
        <w:spacing w:after="60"/>
        <w:ind w:left="360" w:hanging="230"/>
      </w:pPr>
      <w:r>
        <w:t>Deployment option</w:t>
      </w:r>
    </w:p>
    <w:p>
      <w:pPr>
        <w:pStyle w:val="ListBullet"/>
        <w:spacing w:after="60"/>
        <w:ind w:left="360" w:hanging="230"/>
      </w:pPr>
      <w:r>
        <w:t>Documentation requirement</w:t>
      </w:r>
    </w:p>
    <w:p>
      <w:pPr>
        <w:pStyle w:val="ListBullet"/>
        <w:spacing w:after="60"/>
        <w:ind w:left="360" w:hanging="230"/>
      </w:pPr>
      <w:r>
        <w:t>Commercial service</w:t>
      </w:r>
    </w:p>
    <w:p>
      <w:pPr>
        <w:pStyle w:val="ListBullet"/>
        <w:spacing w:after="60"/>
        <w:ind w:left="360" w:hanging="230"/>
      </w:pPr>
      <w:r>
        <w:t>Deliberate exclusion</w:t>
      </w:r>
    </w:p>
    <w:p>
      <w:r>
        <w:t>The existence of a paying customer does not automatically justify turning every requested capability into core DRE functionality.</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PRODUCT PRINCIPLE</w:t>
              <w:br/>
            </w:r>
            <w:r>
              <w:t>Solve the legal-billing review problem without rebuilding the customer’s entire legal technology stack.</w:t>
            </w:r>
          </w:p>
        </w:tc>
      </w:tr>
    </w:tbl>
    <w:p/>
    <w:p>
      <w:pPr>
        <w:pStyle w:val="Heading2"/>
      </w:pPr>
      <w:r>
        <w:t>12.9 Customer Onboarding</w:t>
      </w:r>
    </w:p>
    <w:p>
      <w:r>
        <w:t>Customer onboarding should ultimately be designed around the smallest set of information required to make DRE useful in the customer’s environment.</w:t>
      </w:r>
    </w:p>
    <w:p>
      <w:pPr>
        <w:pStyle w:val="ListBullet"/>
        <w:spacing w:after="60"/>
        <w:ind w:left="360" w:hanging="230"/>
      </w:pPr>
      <w:r>
        <w:t>Azure environment</w:t>
      </w:r>
    </w:p>
    <w:p>
      <w:pPr>
        <w:pStyle w:val="ListBullet"/>
        <w:spacing w:after="60"/>
        <w:ind w:left="360" w:hanging="230"/>
      </w:pPr>
      <w:r>
        <w:t>Authorized stakeholders</w:t>
      </w:r>
    </w:p>
    <w:p>
      <w:pPr>
        <w:pStyle w:val="ListBullet"/>
        <w:spacing w:after="60"/>
        <w:ind w:left="360" w:hanging="230"/>
      </w:pPr>
      <w:r>
        <w:t>Billing-file format</w:t>
      </w:r>
    </w:p>
    <w:p>
      <w:pPr>
        <w:pStyle w:val="ListBullet"/>
        <w:spacing w:after="60"/>
        <w:ind w:left="360" w:hanging="230"/>
      </w:pPr>
      <w:r>
        <w:t>OCG/policy source</w:t>
      </w:r>
    </w:p>
    <w:p>
      <w:pPr>
        <w:pStyle w:val="ListBullet"/>
        <w:spacing w:after="60"/>
        <w:ind w:left="360" w:hanging="230"/>
      </w:pPr>
      <w:r>
        <w:t>Rule configuration</w:t>
      </w:r>
    </w:p>
    <w:p>
      <w:pPr>
        <w:pStyle w:val="ListBullet"/>
        <w:spacing w:after="60"/>
        <w:ind w:left="360" w:hanging="230"/>
      </w:pPr>
      <w:r>
        <w:t>Review authority</w:t>
      </w:r>
    </w:p>
    <w:p>
      <w:pPr>
        <w:pStyle w:val="ListBullet"/>
        <w:spacing w:after="60"/>
        <w:ind w:left="360" w:hanging="230"/>
      </w:pPr>
      <w:r>
        <w:t>Human-review routing</w:t>
      </w:r>
    </w:p>
    <w:p>
      <w:pPr>
        <w:pStyle w:val="ListBullet"/>
        <w:spacing w:after="60"/>
        <w:ind w:left="360" w:hanging="230"/>
      </w:pPr>
      <w:r>
        <w:t>Required outputs</w:t>
      </w:r>
    </w:p>
    <w:p>
      <w:pPr>
        <w:pStyle w:val="ListBullet"/>
        <w:spacing w:after="60"/>
        <w:ind w:left="360" w:hanging="230"/>
      </w:pPr>
      <w:r>
        <w:t>Existing system handoffs</w:t>
      </w:r>
    </w:p>
    <w:p>
      <w:pPr>
        <w:pStyle w:val="ListBullet"/>
        <w:spacing w:after="60"/>
        <w:ind w:left="360" w:hanging="230"/>
      </w:pPr>
      <w:r>
        <w:t>Security requirements</w:t>
      </w:r>
    </w:p>
    <w:p>
      <w:pPr>
        <w:pStyle w:val="ListBullet"/>
        <w:spacing w:after="60"/>
        <w:ind w:left="360" w:hanging="230"/>
      </w:pPr>
      <w:r>
        <w:t>Retention requirements</w:t>
      </w:r>
    </w:p>
    <w:p>
      <w:pPr>
        <w:pStyle w:val="ListBullet"/>
        <w:spacing w:after="60"/>
        <w:ind w:left="360" w:hanging="230"/>
      </w:pPr>
      <w:r>
        <w:t>Operational contacts</w:t>
      </w:r>
    </w:p>
    <w:p>
      <w:pPr>
        <w:pStyle w:val="Heading2"/>
      </w:pPr>
      <w:r>
        <w:t>12.10 Deployment Model</w:t>
      </w:r>
    </w:p>
    <w:p>
      <w:r>
        <w:t>The intended commercial deployment model is:</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INTENDED COMMERCIAL DEPLOYMENT</w:t>
              <w:br/>
            </w:r>
            <w:r>
              <w:t>DRE deploys into the customer’s own Microsoft Azure environment.</w:t>
            </w:r>
          </w:p>
        </w:tc>
      </w:tr>
    </w:tbl>
    <w:p/>
    <w:p>
      <w:r>
        <w:t>This is fundamental to both the technical and commercial architecture.</w:t>
      </w:r>
    </w:p>
    <w:p>
      <w:r>
        <w:t>The customer remains in its existing Microsoft ecosystem.</w:t>
      </w:r>
    </w:p>
    <w:p>
      <w:r>
        <w:t>DRE provides the specialized legal-billing review capability.</w:t>
      </w:r>
    </w:p>
    <w:p>
      <w:r>
        <w:t>The surrounding enterprise environment remains governed through the customer’s Azure and Microsoft operating model.</w:t>
      </w:r>
    </w:p>
    <w:p>
      <w:pPr>
        <w:pStyle w:val="Heading2"/>
      </w:pPr>
      <w:r>
        <w:t>12.11 Deployment as Part of the Commercial Offering</w:t>
      </w:r>
    </w:p>
    <w:p>
      <w:r>
        <w:t>Because the product is intended for customer-owned Azure deployment, deployment is part of the customer relationship.</w:t>
      </w:r>
    </w:p>
    <w:p>
      <w:pPr>
        <w:pStyle w:val="ListBullet"/>
        <w:spacing w:after="60"/>
        <w:ind w:left="360" w:hanging="230"/>
      </w:pPr>
      <w:r>
        <w:t>Azure subscription/resource structure</w:t>
      </w:r>
    </w:p>
    <w:p>
      <w:pPr>
        <w:pStyle w:val="ListBullet"/>
        <w:spacing w:after="60"/>
        <w:ind w:left="360" w:hanging="230"/>
      </w:pPr>
      <w:r>
        <w:t>Deployment permissions</w:t>
      </w:r>
    </w:p>
    <w:p>
      <w:pPr>
        <w:pStyle w:val="ListBullet"/>
        <w:spacing w:after="60"/>
        <w:ind w:left="360" w:hanging="230"/>
      </w:pPr>
      <w:r>
        <w:t>Network requirements</w:t>
      </w:r>
    </w:p>
    <w:p>
      <w:pPr>
        <w:pStyle w:val="ListBullet"/>
        <w:spacing w:after="60"/>
        <w:ind w:left="360" w:hanging="230"/>
      </w:pPr>
      <w:r>
        <w:t>Microsoft Entra ID</w:t>
      </w:r>
    </w:p>
    <w:p>
      <w:pPr>
        <w:pStyle w:val="ListBullet"/>
        <w:spacing w:after="60"/>
        <w:ind w:left="360" w:hanging="230"/>
      </w:pPr>
      <w:r>
        <w:t>Managed identities</w:t>
      </w:r>
    </w:p>
    <w:p>
      <w:pPr>
        <w:pStyle w:val="ListBullet"/>
        <w:spacing w:after="60"/>
        <w:ind w:left="360" w:hanging="230"/>
      </w:pPr>
      <w:r>
        <w:t>RBAC</w:t>
      </w:r>
    </w:p>
    <w:p>
      <w:pPr>
        <w:pStyle w:val="ListBullet"/>
        <w:spacing w:after="60"/>
        <w:ind w:left="360" w:hanging="230"/>
      </w:pPr>
      <w:r>
        <w:t>Key Vault</w:t>
      </w:r>
    </w:p>
    <w:p>
      <w:pPr>
        <w:pStyle w:val="ListBullet"/>
        <w:spacing w:after="60"/>
        <w:ind w:left="360" w:hanging="230"/>
      </w:pPr>
      <w:r>
        <w:t>Azure OpenAI</w:t>
      </w:r>
    </w:p>
    <w:p>
      <w:pPr>
        <w:pStyle w:val="ListBullet"/>
        <w:spacing w:after="60"/>
        <w:ind w:left="360" w:hanging="230"/>
      </w:pPr>
      <w:r>
        <w:t>Cosmos DB</w:t>
      </w:r>
    </w:p>
    <w:p>
      <w:pPr>
        <w:pStyle w:val="ListBullet"/>
        <w:spacing w:after="60"/>
        <w:ind w:left="360" w:hanging="230"/>
      </w:pPr>
      <w:r>
        <w:t>Application runtime</w:t>
      </w:r>
    </w:p>
    <w:p>
      <w:pPr>
        <w:pStyle w:val="ListBullet"/>
        <w:spacing w:after="60"/>
        <w:ind w:left="360" w:hanging="230"/>
      </w:pPr>
      <w:r>
        <w:t>Monitoring</w:t>
      </w:r>
    </w:p>
    <w:p>
      <w:pPr>
        <w:pStyle w:val="ListBullet"/>
        <w:spacing w:after="60"/>
        <w:ind w:left="360" w:hanging="230"/>
      </w:pPr>
      <w:r>
        <w:t>Customer security requirements</w:t>
      </w:r>
    </w:p>
    <w:p>
      <w:pPr>
        <w:pStyle w:val="ListBullet"/>
        <w:spacing w:after="60"/>
        <w:ind w:left="360" w:hanging="230"/>
      </w:pPr>
      <w:r>
        <w:t>Validation evidence</w:t>
      </w:r>
    </w:p>
    <w:p>
      <w:pPr>
        <w:pStyle w:val="Heading2"/>
      </w:pPr>
      <w:r>
        <w:t>12.12 Customer Responsibility</w:t>
      </w:r>
    </w:p>
    <w:p>
      <w:r>
        <w:t>The customer-owned deployment model creates customer responsibilities.</w:t>
      </w:r>
    </w:p>
    <w:p>
      <w:pPr>
        <w:pStyle w:val="ListBullet"/>
        <w:spacing w:after="60"/>
        <w:ind w:left="360" w:hanging="230"/>
      </w:pPr>
      <w:r>
        <w:t>Azure subscription</w:t>
      </w:r>
    </w:p>
    <w:p>
      <w:pPr>
        <w:pStyle w:val="ListBullet"/>
        <w:spacing w:after="60"/>
        <w:ind w:left="360" w:hanging="230"/>
      </w:pPr>
      <w:r>
        <w:t>Resource ownership</w:t>
      </w:r>
    </w:p>
    <w:p>
      <w:pPr>
        <w:pStyle w:val="ListBullet"/>
        <w:spacing w:after="60"/>
        <w:ind w:left="360" w:hanging="230"/>
      </w:pPr>
      <w:r>
        <w:t>Enterprise identity</w:t>
      </w:r>
    </w:p>
    <w:p>
      <w:pPr>
        <w:pStyle w:val="ListBullet"/>
        <w:spacing w:after="60"/>
        <w:ind w:left="360" w:hanging="230"/>
      </w:pPr>
      <w:r>
        <w:t>Network policy</w:t>
      </w:r>
    </w:p>
    <w:p>
      <w:pPr>
        <w:pStyle w:val="ListBullet"/>
        <w:spacing w:after="60"/>
        <w:ind w:left="360" w:hanging="230"/>
      </w:pPr>
      <w:r>
        <w:t>Administrative access</w:t>
      </w:r>
    </w:p>
    <w:p>
      <w:pPr>
        <w:pStyle w:val="ListBullet"/>
        <w:spacing w:after="60"/>
        <w:ind w:left="360" w:hanging="230"/>
      </w:pPr>
      <w:r>
        <w:t>Security policy</w:t>
      </w:r>
    </w:p>
    <w:p>
      <w:pPr>
        <w:pStyle w:val="ListBullet"/>
        <w:spacing w:after="60"/>
        <w:ind w:left="360" w:hanging="230"/>
      </w:pPr>
      <w:r>
        <w:t>Data residency</w:t>
      </w:r>
    </w:p>
    <w:p>
      <w:pPr>
        <w:pStyle w:val="ListBullet"/>
        <w:spacing w:after="60"/>
        <w:ind w:left="360" w:hanging="230"/>
      </w:pPr>
      <w:r>
        <w:t>Retention</w:t>
      </w:r>
    </w:p>
    <w:p>
      <w:pPr>
        <w:pStyle w:val="ListBullet"/>
        <w:spacing w:after="60"/>
        <w:ind w:left="360" w:hanging="230"/>
      </w:pPr>
      <w:r>
        <w:t>Human-review authorization</w:t>
      </w:r>
    </w:p>
    <w:p>
      <w:pPr>
        <w:pStyle w:val="ListBullet"/>
        <w:spacing w:after="60"/>
        <w:ind w:left="360" w:hanging="230"/>
      </w:pPr>
      <w:r>
        <w:t>OCG/policy approval</w:t>
      </w:r>
    </w:p>
    <w:p>
      <w:pPr>
        <w:pStyle w:val="ListBullet"/>
        <w:spacing w:after="60"/>
        <w:ind w:left="360" w:hanging="230"/>
      </w:pPr>
      <w:r>
        <w:t>Internal integrations</w:t>
      </w:r>
    </w:p>
    <w:p>
      <w:pPr>
        <w:pStyle w:val="ListBullet"/>
        <w:spacing w:after="60"/>
        <w:ind w:left="360" w:hanging="230"/>
      </w:pPr>
      <w:r>
        <w:t>Procurement</w:t>
      </w:r>
    </w:p>
    <w:p>
      <w:pPr>
        <w:pStyle w:val="ListBullet"/>
        <w:spacing w:after="60"/>
        <w:ind w:left="360" w:hanging="230"/>
      </w:pPr>
      <w:r>
        <w:t>Operational governance</w:t>
      </w:r>
    </w:p>
    <w:p>
      <w:pPr>
        <w:pStyle w:val="Heading2"/>
      </w:pPr>
      <w:r>
        <w:t>12.13 Engineered Launch Responsibility</w:t>
      </w:r>
    </w:p>
    <w:p>
      <w:r>
        <w:t>Engineered Launch’s commercial responsibilities are expected to center on the DRE product itself.</w:t>
      </w:r>
    </w:p>
    <w:p>
      <w:pPr>
        <w:pStyle w:val="ListBullet"/>
        <w:spacing w:after="60"/>
        <w:ind w:left="360" w:hanging="230"/>
      </w:pPr>
      <w:r>
        <w:t>DRE software</w:t>
      </w:r>
    </w:p>
    <w:p>
      <w:pPr>
        <w:pStyle w:val="ListBullet"/>
        <w:spacing w:after="60"/>
        <w:ind w:left="360" w:hanging="230"/>
      </w:pPr>
      <w:r>
        <w:t>Product deployment package</w:t>
      </w:r>
    </w:p>
    <w:p>
      <w:pPr>
        <w:pStyle w:val="ListBullet"/>
        <w:spacing w:after="60"/>
        <w:ind w:left="360" w:hanging="230"/>
      </w:pPr>
      <w:r>
        <w:t>Infrastructure definitions</w:t>
      </w:r>
    </w:p>
    <w:p>
      <w:pPr>
        <w:pStyle w:val="ListBullet"/>
        <w:spacing w:after="60"/>
        <w:ind w:left="360" w:hanging="230"/>
      </w:pPr>
      <w:r>
        <w:t>Product configuration</w:t>
      </w:r>
    </w:p>
    <w:p>
      <w:pPr>
        <w:pStyle w:val="ListBullet"/>
        <w:spacing w:after="60"/>
        <w:ind w:left="360" w:hanging="230"/>
      </w:pPr>
      <w:r>
        <w:t>Documentation</w:t>
      </w:r>
    </w:p>
    <w:p>
      <w:pPr>
        <w:pStyle w:val="ListBullet"/>
        <w:spacing w:after="60"/>
        <w:ind w:left="360" w:hanging="230"/>
      </w:pPr>
      <w:r>
        <w:t>Product updates</w:t>
      </w:r>
    </w:p>
    <w:p>
      <w:pPr>
        <w:pStyle w:val="ListBullet"/>
        <w:spacing w:after="60"/>
        <w:ind w:left="360" w:hanging="230"/>
      </w:pPr>
      <w:r>
        <w:t>Validation methodology</w:t>
      </w:r>
    </w:p>
    <w:p>
      <w:pPr>
        <w:pStyle w:val="ListBullet"/>
        <w:spacing w:after="60"/>
        <w:ind w:left="360" w:hanging="230"/>
      </w:pPr>
      <w:r>
        <w:t>Support</w:t>
      </w:r>
    </w:p>
    <w:p>
      <w:pPr>
        <w:pStyle w:val="ListBullet"/>
        <w:spacing w:after="60"/>
        <w:ind w:left="360" w:hanging="230"/>
      </w:pPr>
      <w:r>
        <w:t>Defect resolution</w:t>
      </w:r>
    </w:p>
    <w:p>
      <w:pPr>
        <w:pStyle w:val="ListBullet"/>
        <w:spacing w:after="60"/>
        <w:ind w:left="360" w:hanging="230"/>
      </w:pPr>
      <w:r>
        <w:t>Product guidance</w:t>
      </w:r>
    </w:p>
    <w:p>
      <w:pPr>
        <w:pStyle w:val="ListBullet"/>
        <w:spacing w:after="60"/>
        <w:ind w:left="360" w:hanging="230"/>
      </w:pPr>
      <w:r>
        <w:t>Deployment assistance as defined by the commercial agreement</w:t>
      </w:r>
    </w:p>
    <w:p>
      <w:pPr>
        <w:pStyle w:val="Heading2"/>
      </w:pPr>
      <w:r>
        <w:t>12.14 Existing-System Coexistence</w:t>
      </w:r>
    </w:p>
    <w:p>
      <w:r>
        <w:t>DRE’s commercial model benefits from its product boundary.</w:t>
      </w:r>
    </w:p>
    <w:p>
      <w:pPr>
        <w:pStyle w:val="ListBullet"/>
        <w:spacing w:after="60"/>
        <w:ind w:left="360" w:hanging="230"/>
      </w:pPr>
      <w:r>
        <w:t>E-billing</w:t>
      </w:r>
    </w:p>
    <w:p>
      <w:pPr>
        <w:pStyle w:val="ListBullet"/>
        <w:spacing w:after="60"/>
        <w:ind w:left="360" w:hanging="230"/>
      </w:pPr>
      <w:r>
        <w:t>Matter management</w:t>
      </w:r>
    </w:p>
    <w:p>
      <w:pPr>
        <w:pStyle w:val="ListBullet"/>
        <w:spacing w:after="60"/>
        <w:ind w:left="360" w:hanging="230"/>
      </w:pPr>
      <w:r>
        <w:t>Accounts payable</w:t>
      </w:r>
    </w:p>
    <w:p>
      <w:pPr>
        <w:pStyle w:val="ListBullet"/>
        <w:spacing w:after="60"/>
        <w:ind w:left="360" w:hanging="230"/>
      </w:pPr>
      <w:r>
        <w:t>Reporting</w:t>
      </w:r>
    </w:p>
    <w:p>
      <w:pPr>
        <w:pStyle w:val="ListBullet"/>
        <w:spacing w:after="60"/>
        <w:ind w:left="360" w:hanging="230"/>
      </w:pPr>
      <w:r>
        <w:t>Budgeting</w:t>
      </w:r>
    </w:p>
    <w:p>
      <w:pPr>
        <w:pStyle w:val="ListBullet"/>
        <w:spacing w:after="60"/>
        <w:ind w:left="360" w:hanging="230"/>
      </w:pPr>
      <w:r>
        <w:t>Document management</w:t>
      </w:r>
    </w:p>
    <w:p>
      <w:pPr>
        <w:pStyle w:val="ListBullet"/>
        <w:spacing w:after="60"/>
        <w:ind w:left="360" w:hanging="230"/>
      </w:pPr>
      <w:r>
        <w:t>Vendor management</w:t>
      </w:r>
    </w:p>
    <w:p>
      <w:pPr>
        <w:pStyle w:val="ListBullet"/>
        <w:spacing w:after="60"/>
        <w:ind w:left="360" w:hanging="230"/>
      </w:pPr>
      <w:r>
        <w:t>Financial processing</w:t>
      </w:r>
    </w:p>
    <w:p>
      <w:pPr>
        <w:pStyle w:val="Heading2"/>
      </w:pPr>
      <w:r>
        <w:t>12.15 Integration Model</w:t>
      </w:r>
    </w:p>
    <w:p>
      <w:r>
        <w:t>DRE’s initial commercial value does not require it to integrate with every legal platform on day one.</w:t>
      </w:r>
    </w:p>
    <w:p>
      <w:pPr>
        <w:pStyle w:val="ListBullet"/>
        <w:spacing w:after="60"/>
        <w:ind w:left="360" w:hanging="230"/>
      </w:pPr>
      <w:r>
        <w:t>Customer demand</w:t>
      </w:r>
    </w:p>
    <w:p>
      <w:pPr>
        <w:pStyle w:val="ListBullet"/>
        <w:spacing w:after="60"/>
        <w:ind w:left="360" w:hanging="230"/>
      </w:pPr>
      <w:r>
        <w:t>Frequency</w:t>
      </w:r>
    </w:p>
    <w:p>
      <w:pPr>
        <w:pStyle w:val="ListBullet"/>
        <w:spacing w:after="60"/>
        <w:ind w:left="360" w:hanging="230"/>
      </w:pPr>
      <w:r>
        <w:t>Commercial value</w:t>
      </w:r>
    </w:p>
    <w:p>
      <w:pPr>
        <w:pStyle w:val="ListBullet"/>
        <w:spacing w:after="60"/>
        <w:ind w:left="360" w:hanging="230"/>
      </w:pPr>
      <w:r>
        <w:t>Technical feasibility</w:t>
      </w:r>
    </w:p>
    <w:p>
      <w:pPr>
        <w:pStyle w:val="ListBullet"/>
        <w:spacing w:after="60"/>
        <w:ind w:left="360" w:hanging="230"/>
      </w:pPr>
      <w:r>
        <w:t>Security impact</w:t>
      </w:r>
    </w:p>
    <w:p>
      <w:pPr>
        <w:pStyle w:val="ListBullet"/>
        <w:spacing w:after="60"/>
        <w:ind w:left="360" w:hanging="230"/>
      </w:pPr>
      <w:r>
        <w:t>Reduction in manual motion</w:t>
      </w:r>
    </w:p>
    <w:p>
      <w:pPr>
        <w:pStyle w:val="ListBullet"/>
        <w:spacing w:after="60"/>
        <w:ind w:left="360" w:hanging="230"/>
      </w:pPr>
      <w:r>
        <w:t>Reusability across customers</w:t>
      </w:r>
    </w:p>
    <w:p>
      <w:pPr>
        <w:pStyle w:val="Heading2"/>
      </w:pPr>
      <w:r>
        <w:t>12.16 Support Model</w:t>
      </w:r>
    </w:p>
    <w:p>
      <w:r>
        <w:t>Enterprise deployment requires a support model, but the final DRE support structure has not yet been established.</w:t>
      </w:r>
    </w:p>
    <w:p>
      <w:pPr>
        <w:pStyle w:val="ListBullet"/>
        <w:spacing w:after="60"/>
        <w:ind w:left="360" w:hanging="230"/>
      </w:pPr>
      <w:r>
        <w:t>Product defects</w:t>
      </w:r>
    </w:p>
    <w:p>
      <w:pPr>
        <w:pStyle w:val="ListBullet"/>
        <w:spacing w:after="60"/>
        <w:ind w:left="360" w:hanging="230"/>
      </w:pPr>
      <w:r>
        <w:t>Deployment issues</w:t>
      </w:r>
    </w:p>
    <w:p>
      <w:pPr>
        <w:pStyle w:val="ListBullet"/>
        <w:spacing w:after="60"/>
        <w:ind w:left="360" w:hanging="230"/>
      </w:pPr>
      <w:r>
        <w:t>Configuration</w:t>
      </w:r>
    </w:p>
    <w:p>
      <w:pPr>
        <w:pStyle w:val="ListBullet"/>
        <w:spacing w:after="60"/>
        <w:ind w:left="360" w:hanging="230"/>
      </w:pPr>
      <w:r>
        <w:t>Azure environment interaction</w:t>
      </w:r>
    </w:p>
    <w:p>
      <w:pPr>
        <w:pStyle w:val="ListBullet"/>
        <w:spacing w:after="60"/>
        <w:ind w:left="360" w:hanging="230"/>
      </w:pPr>
      <w:r>
        <w:t>Rule/policy updates</w:t>
      </w:r>
    </w:p>
    <w:p>
      <w:pPr>
        <w:pStyle w:val="ListBullet"/>
        <w:spacing w:after="60"/>
        <w:ind w:left="360" w:hanging="230"/>
      </w:pPr>
      <w:r>
        <w:t>Model-service issues</w:t>
      </w:r>
    </w:p>
    <w:p>
      <w:pPr>
        <w:pStyle w:val="ListBullet"/>
        <w:spacing w:after="60"/>
        <w:ind w:left="360" w:hanging="230"/>
      </w:pPr>
      <w:r>
        <w:t>Customer questions</w:t>
      </w:r>
    </w:p>
    <w:p>
      <w:pPr>
        <w:pStyle w:val="ListBullet"/>
        <w:spacing w:after="60"/>
        <w:ind w:left="360" w:hanging="230"/>
      </w:pPr>
      <w:r>
        <w:t>Incident handling</w:t>
      </w:r>
    </w:p>
    <w:p>
      <w:pPr>
        <w:pStyle w:val="ListBullet"/>
        <w:spacing w:after="60"/>
        <w:ind w:left="360" w:hanging="230"/>
      </w:pPr>
      <w:r>
        <w:t>Version updates</w:t>
      </w:r>
    </w:p>
    <w:p>
      <w:pPr>
        <w:pStyle w:val="ListBullet"/>
        <w:spacing w:after="60"/>
        <w:ind w:left="360" w:hanging="230"/>
      </w:pPr>
      <w:r>
        <w:t>Documentation</w:t>
      </w:r>
    </w:p>
    <w:p>
      <w:pPr>
        <w:pStyle w:val="Heading2"/>
      </w:pPr>
      <w:r>
        <w:t>12.17 Revenue Model</w:t>
      </w:r>
    </w:p>
    <w:p>
      <w:r>
        <w:t>DRE’s long-term revenue architecture is not yet finalized.</w:t>
      </w:r>
    </w:p>
    <w:p>
      <w:pPr>
        <w:pStyle w:val="ListBullet"/>
        <w:spacing w:after="60"/>
        <w:ind w:left="360" w:hanging="230"/>
      </w:pPr>
      <w:r>
        <w:t>Product access</w:t>
      </w:r>
    </w:p>
    <w:p>
      <w:pPr>
        <w:pStyle w:val="ListBullet"/>
        <w:spacing w:after="60"/>
        <w:ind w:left="360" w:hanging="230"/>
      </w:pPr>
      <w:r>
        <w:t>Deployment</w:t>
      </w:r>
    </w:p>
    <w:p>
      <w:pPr>
        <w:pStyle w:val="ListBullet"/>
        <w:spacing w:after="60"/>
        <w:ind w:left="360" w:hanging="230"/>
      </w:pPr>
      <w:r>
        <w:t>Processing volume</w:t>
      </w:r>
    </w:p>
    <w:p>
      <w:pPr>
        <w:pStyle w:val="ListBullet"/>
        <w:spacing w:after="60"/>
        <w:ind w:left="360" w:hanging="230"/>
      </w:pPr>
      <w:r>
        <w:t>Organizational use</w:t>
      </w:r>
    </w:p>
    <w:p>
      <w:pPr>
        <w:pStyle w:val="ListBullet"/>
        <w:spacing w:after="60"/>
        <w:ind w:left="360" w:hanging="230"/>
      </w:pPr>
      <w:r>
        <w:t>Support</w:t>
      </w:r>
    </w:p>
    <w:p>
      <w:pPr>
        <w:pStyle w:val="ListBullet"/>
        <w:spacing w:after="60"/>
        <w:ind w:left="360" w:hanging="230"/>
      </w:pPr>
      <w:r>
        <w:t>Configuration</w:t>
      </w:r>
    </w:p>
    <w:p>
      <w:pPr>
        <w:pStyle w:val="ListBullet"/>
        <w:spacing w:after="60"/>
        <w:ind w:left="360" w:hanging="230"/>
      </w:pPr>
      <w:r>
        <w:t>Enterprise requirements</w:t>
      </w:r>
    </w:p>
    <w:p>
      <w:pPr>
        <w:pStyle w:val="Heading2"/>
      </w:pPr>
      <w:r>
        <w:t>12.18 Pricing Principle</w:t>
      </w:r>
    </w:p>
    <w:p>
      <w:r>
        <w:t>Pricing should correspond to the value and operating model of DRE rather than simply copying incumbent legal-software pricing structures.</w:t>
      </w:r>
    </w:p>
    <w:p>
      <w:pPr>
        <w:pStyle w:val="ListBullet"/>
        <w:spacing w:after="60"/>
        <w:ind w:left="360" w:hanging="230"/>
      </w:pPr>
      <w:r>
        <w:t>Understandable</w:t>
      </w:r>
    </w:p>
    <w:p>
      <w:pPr>
        <w:pStyle w:val="ListBullet"/>
        <w:spacing w:after="60"/>
        <w:ind w:left="360" w:hanging="230"/>
      </w:pPr>
      <w:r>
        <w:t>Defensible</w:t>
      </w:r>
    </w:p>
    <w:p>
      <w:pPr>
        <w:pStyle w:val="ListBullet"/>
        <w:spacing w:after="60"/>
        <w:ind w:left="360" w:hanging="230"/>
      </w:pPr>
      <w:r>
        <w:t>Scalable</w:t>
      </w:r>
    </w:p>
    <w:p>
      <w:pPr>
        <w:pStyle w:val="ListBullet"/>
        <w:spacing w:after="60"/>
        <w:ind w:left="360" w:hanging="230"/>
      </w:pPr>
      <w:r>
        <w:t>Appropriate for enterprise customers</w:t>
      </w:r>
    </w:p>
    <w:p>
      <w:pPr>
        <w:pStyle w:val="ListBullet"/>
        <w:spacing w:after="60"/>
        <w:ind w:left="360" w:hanging="230"/>
      </w:pPr>
      <w:r>
        <w:t>Compatible with customer-owned Azure deployment</w:t>
      </w:r>
    </w:p>
    <w:p>
      <w:pPr>
        <w:pStyle w:val="ListBullet"/>
        <w:spacing w:after="60"/>
        <w:ind w:left="360" w:hanging="230"/>
      </w:pPr>
      <w:r>
        <w:t>Consistent with the value of the billing-review function</w:t>
      </w:r>
    </w:p>
    <w:p>
      <w:pPr>
        <w:pStyle w:val="Heading2"/>
      </w:pPr>
      <w:r>
        <w:t>12.19 Azure Consumption</w:t>
      </w:r>
    </w:p>
    <w:p>
      <w:r>
        <w:t>Customer-owned Azure deployment also means the DRE commercial relationship is distinct from the customer’s underlying Microsoft Azure consumption.</w:t>
      </w:r>
    </w:p>
    <w:p>
      <w:pPr>
        <w:pStyle w:val="ListBullet"/>
        <w:spacing w:after="60"/>
        <w:ind w:left="360" w:hanging="230"/>
      </w:pPr>
      <w:r>
        <w:t>Application runtime</w:t>
      </w:r>
    </w:p>
    <w:p>
      <w:pPr>
        <w:pStyle w:val="ListBullet"/>
        <w:spacing w:after="60"/>
        <w:ind w:left="360" w:hanging="230"/>
      </w:pPr>
      <w:r>
        <w:t>Azure OpenAI</w:t>
      </w:r>
    </w:p>
    <w:p>
      <w:pPr>
        <w:pStyle w:val="ListBullet"/>
        <w:spacing w:after="60"/>
        <w:ind w:left="360" w:hanging="230"/>
      </w:pPr>
      <w:r>
        <w:t>Cosmos DB</w:t>
      </w:r>
    </w:p>
    <w:p>
      <w:pPr>
        <w:pStyle w:val="ListBullet"/>
        <w:spacing w:after="60"/>
        <w:ind w:left="360" w:hanging="230"/>
      </w:pPr>
      <w:r>
        <w:t>Service Bus</w:t>
      </w:r>
    </w:p>
    <w:p>
      <w:pPr>
        <w:pStyle w:val="ListBullet"/>
        <w:spacing w:after="60"/>
        <w:ind w:left="360" w:hanging="230"/>
      </w:pPr>
      <w:r>
        <w:t>Key Vault</w:t>
      </w:r>
    </w:p>
    <w:p>
      <w:pPr>
        <w:pStyle w:val="ListBullet"/>
        <w:spacing w:after="60"/>
        <w:ind w:left="360" w:hanging="230"/>
      </w:pPr>
      <w:r>
        <w:t>Networking</w:t>
      </w:r>
    </w:p>
    <w:p>
      <w:pPr>
        <w:pStyle w:val="ListBullet"/>
        <w:spacing w:after="60"/>
        <w:ind w:left="360" w:hanging="230"/>
      </w:pPr>
      <w:r>
        <w:t>Monitoring</w:t>
      </w:r>
    </w:p>
    <w:p>
      <w:pPr>
        <w:pStyle w:val="ListBullet"/>
        <w:spacing w:after="60"/>
        <w:ind w:left="360" w:hanging="230"/>
      </w:pPr>
      <w:r>
        <w:t>Logging</w:t>
      </w:r>
    </w:p>
    <w:p>
      <w:pPr>
        <w:pStyle w:val="Heading2"/>
      </w:pPr>
      <w:r>
        <w:t>12.20 Sales Motion</w:t>
      </w:r>
    </w:p>
    <w:p>
      <w:r>
        <w:t>The initial sales process should remain closely tied to the working product.</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PRACTICAL PROGRESSION</w:t>
              <w:br/>
            </w:r>
            <w:r>
              <w:t>Customer encounters DRE → understands the problem → tries the demo → provides feedback or requests contact → enters a product conversation → evaluates organizational fit → discusses design-partner/customer engagement → evaluates Azure/security requirements → commercial agreement → deployment.</w:t>
            </w:r>
          </w:p>
        </w:tc>
      </w:tr>
    </w:tbl>
    <w:p/>
    <w:p>
      <w:pPr>
        <w:pStyle w:val="Heading2"/>
      </w:pPr>
      <w:r>
        <w:t>12.21 Product-Led Evidence and Enterprise Sales</w:t>
      </w:r>
    </w:p>
    <w:p>
      <w:r>
        <w:t>DRE combines elements of product-led evaluation with enterprise selling.</w:t>
      </w:r>
    </w:p>
    <w:p>
      <w:r>
        <w:t>The public demonstration allows low-friction product exposure.</w:t>
      </w:r>
    </w:p>
    <w:p>
      <w:r>
        <w:t>The customer-owned Azure architecture, OCG configuration, security requirements, and organizational buying process create an enterprise sales motion.</w:t>
      </w:r>
    </w:p>
    <w:p>
      <w:r>
        <w:t>Those are not contradictory.</w:t>
      </w:r>
    </w:p>
    <w:p>
      <w:r>
        <w:t>The demo lowers the cost of understanding the product.</w:t>
      </w:r>
    </w:p>
    <w:p>
      <w:r>
        <w:t>Enterprise engagement handles the requirements necessary to deploy it inside a real organization.</w:t>
      </w:r>
    </w:p>
    <w:p>
      <w:pPr>
        <w:pStyle w:val="Heading2"/>
      </w:pPr>
      <w:r>
        <w:t>12.22 Sales Qualification</w:t>
      </w:r>
    </w:p>
    <w:p>
      <w:r>
        <w:t>Not every demo user is a commercial prospect.</w:t>
      </w:r>
    </w:p>
    <w:p>
      <w:pPr>
        <w:pStyle w:val="ListBullet"/>
        <w:spacing w:after="60"/>
        <w:ind w:left="360" w:hanging="230"/>
      </w:pPr>
      <w:r>
        <w:t>Outside-counsel billing responsibility</w:t>
      </w:r>
    </w:p>
    <w:p>
      <w:pPr>
        <w:pStyle w:val="ListBullet"/>
        <w:spacing w:after="60"/>
        <w:ind w:left="360" w:hanging="230"/>
      </w:pPr>
      <w:r>
        <w:t>Billing volume</w:t>
      </w:r>
    </w:p>
    <w:p>
      <w:pPr>
        <w:pStyle w:val="ListBullet"/>
        <w:spacing w:after="60"/>
        <w:ind w:left="360" w:hanging="230"/>
      </w:pPr>
      <w:r>
        <w:t>Existing review process</w:t>
      </w:r>
    </w:p>
    <w:p>
      <w:pPr>
        <w:pStyle w:val="ListBullet"/>
        <w:spacing w:after="60"/>
        <w:ind w:left="360" w:hanging="230"/>
      </w:pPr>
      <w:r>
        <w:t>Existing e-billing environment</w:t>
      </w:r>
    </w:p>
    <w:p>
      <w:pPr>
        <w:pStyle w:val="ListBullet"/>
        <w:spacing w:after="60"/>
        <w:ind w:left="360" w:hanging="230"/>
      </w:pPr>
      <w:r>
        <w:t>OCG usage</w:t>
      </w:r>
    </w:p>
    <w:p>
      <w:pPr>
        <w:pStyle w:val="ListBullet"/>
        <w:spacing w:after="60"/>
        <w:ind w:left="360" w:hanging="230"/>
      </w:pPr>
      <w:r>
        <w:t>Review burden</w:t>
      </w:r>
    </w:p>
    <w:p>
      <w:pPr>
        <w:pStyle w:val="ListBullet"/>
        <w:spacing w:after="60"/>
        <w:ind w:left="360" w:hanging="230"/>
      </w:pPr>
      <w:r>
        <w:t>Organizational authority</w:t>
      </w:r>
    </w:p>
    <w:p>
      <w:pPr>
        <w:pStyle w:val="ListBullet"/>
        <w:spacing w:after="60"/>
        <w:ind w:left="360" w:hanging="230"/>
      </w:pPr>
      <w:r>
        <w:t>Azure environment</w:t>
      </w:r>
    </w:p>
    <w:p>
      <w:pPr>
        <w:pStyle w:val="ListBullet"/>
        <w:spacing w:after="60"/>
        <w:ind w:left="360" w:hanging="230"/>
      </w:pPr>
      <w:r>
        <w:t>Security requirements</w:t>
      </w:r>
    </w:p>
    <w:p>
      <w:pPr>
        <w:pStyle w:val="ListBullet"/>
        <w:spacing w:after="60"/>
        <w:ind w:left="360" w:hanging="230"/>
      </w:pPr>
      <w:r>
        <w:t>Procurement path</w:t>
      </w:r>
    </w:p>
    <w:p>
      <w:pPr>
        <w:pStyle w:val="ListBullet"/>
        <w:spacing w:after="60"/>
        <w:ind w:left="360" w:hanging="230"/>
      </w:pPr>
      <w:r>
        <w:t>Timing</w:t>
      </w:r>
    </w:p>
    <w:p>
      <w:pPr>
        <w:pStyle w:val="ListBullet"/>
        <w:spacing w:after="60"/>
        <w:ind w:left="360" w:hanging="230"/>
      </w:pPr>
      <w:r>
        <w:t>Willingness to evaluate a focused review layer</w:t>
      </w:r>
    </w:p>
    <w:p>
      <w:pPr>
        <w:pStyle w:val="Heading2"/>
      </w:pPr>
      <w:r>
        <w:t>12.23 Design-Partner Qualification</w:t>
      </w:r>
    </w:p>
    <w:p>
      <w:r>
        <w:t>A useful design partner should provide more than enthusiasm.</w:t>
      </w:r>
    </w:p>
    <w:p>
      <w:pPr>
        <w:pStyle w:val="ListBullet"/>
        <w:spacing w:after="60"/>
        <w:ind w:left="360" w:hanging="230"/>
      </w:pPr>
      <w:r>
        <w:t>A real outside-counsel billing workflow</w:t>
      </w:r>
    </w:p>
    <w:p>
      <w:pPr>
        <w:pStyle w:val="ListBullet"/>
        <w:spacing w:after="60"/>
        <w:ind w:left="360" w:hanging="230"/>
      </w:pPr>
      <w:r>
        <w:t>Existing OCGs or billing policies</w:t>
      </w:r>
    </w:p>
    <w:p>
      <w:pPr>
        <w:pStyle w:val="ListBullet"/>
        <w:spacing w:after="60"/>
        <w:ind w:left="360" w:hanging="230"/>
      </w:pPr>
      <w:r>
        <w:t>A meaningful review problem</w:t>
      </w:r>
    </w:p>
    <w:p>
      <w:pPr>
        <w:pStyle w:val="ListBullet"/>
        <w:spacing w:after="60"/>
        <w:ind w:left="360" w:hanging="230"/>
      </w:pPr>
      <w:r>
        <w:t>Access to appropriate organizational stakeholders</w:t>
      </w:r>
    </w:p>
    <w:p>
      <w:pPr>
        <w:pStyle w:val="ListBullet"/>
        <w:spacing w:after="60"/>
        <w:ind w:left="360" w:hanging="230"/>
      </w:pPr>
      <w:r>
        <w:t>Willingness to provide structured feedback</w:t>
      </w:r>
    </w:p>
    <w:p>
      <w:pPr>
        <w:pStyle w:val="ListBullet"/>
        <w:spacing w:after="60"/>
        <w:ind w:left="360" w:hanging="230"/>
      </w:pPr>
      <w:r>
        <w:t>Ability to evaluate deployment requirements</w:t>
      </w:r>
    </w:p>
    <w:p>
      <w:pPr>
        <w:pStyle w:val="ListBullet"/>
        <w:spacing w:after="60"/>
        <w:ind w:left="360" w:hanging="230"/>
      </w:pPr>
      <w:r>
        <w:t>Genuine interest in using the resulting product</w:t>
      </w:r>
    </w:p>
    <w:p>
      <w:pPr>
        <w:pStyle w:val="Heading2"/>
      </w:pPr>
      <w:r>
        <w:t>12.24 Commercial Proof Progression</w:t>
      </w:r>
    </w:p>
    <w:p>
      <w:r>
        <w:t>DRE’s commercial evidence should progress through increasingly strong states:</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COMMERCIAL PROOF</w:t>
              <w:br/>
            </w:r>
            <w:r>
              <w:t>Demo interest → Waitlist → Customer conversation → Design-partner interest → Commercial proposal → Signed engagement → Payment → Deployment → Active use → Continued use → Measured customer outcome.</w:t>
            </w:r>
          </w:p>
        </w:tc>
      </w:tr>
    </w:tbl>
    <w:p/>
    <w:p>
      <w:r>
        <w:t>Each stage should be reported as what it actually is.</w:t>
      </w:r>
    </w:p>
    <w:p>
      <w:r>
        <w:t>A conversation is not a customer.</w:t>
      </w:r>
    </w:p>
    <w:p>
      <w:r>
        <w:t>A proposal is not revenue.</w:t>
      </w:r>
    </w:p>
    <w:p>
      <w:r>
        <w:t>A signed customer is stronger evidence than a waitlist.</w:t>
      </w:r>
    </w:p>
    <w:p>
      <w:r>
        <w:t>A deployed paying customer with measured outcomes is stronger still.</w:t>
      </w:r>
    </w:p>
    <w:p>
      <w:pPr>
        <w:pStyle w:val="Heading2"/>
      </w:pPr>
      <w:r>
        <w:t>12.25 Customer Outcome Measurement</w:t>
      </w:r>
    </w:p>
    <w:p>
      <w:r>
        <w:t>Commercial success should eventually be measured through customer outcomes rather than software activity alone.</w:t>
      </w:r>
    </w:p>
    <w:p>
      <w:pPr>
        <w:pStyle w:val="ListBullet"/>
        <w:spacing w:after="60"/>
        <w:ind w:left="360" w:hanging="230"/>
      </w:pPr>
      <w:r>
        <w:t>Reduced review population</w:t>
      </w:r>
    </w:p>
    <w:p>
      <w:pPr>
        <w:pStyle w:val="ListBullet"/>
        <w:spacing w:after="60"/>
        <w:ind w:left="360" w:hanging="230"/>
      </w:pPr>
      <w:r>
        <w:t>Faster review</w:t>
      </w:r>
    </w:p>
    <w:p>
      <w:pPr>
        <w:pStyle w:val="ListBullet"/>
        <w:spacing w:after="60"/>
        <w:ind w:left="360" w:hanging="230"/>
      </w:pPr>
      <w:r>
        <w:t>Fewer manual touches</w:t>
      </w:r>
    </w:p>
    <w:p>
      <w:pPr>
        <w:pStyle w:val="ListBullet"/>
        <w:spacing w:after="60"/>
        <w:ind w:left="360" w:hanging="230"/>
      </w:pPr>
      <w:r>
        <w:t>Better identification of billing exceptions</w:t>
      </w:r>
    </w:p>
    <w:p>
      <w:pPr>
        <w:pStyle w:val="ListBullet"/>
        <w:spacing w:after="60"/>
        <w:ind w:left="360" w:hanging="230"/>
      </w:pPr>
      <w:r>
        <w:t>More consistent OCG enforcement</w:t>
      </w:r>
    </w:p>
    <w:p>
      <w:pPr>
        <w:pStyle w:val="ListBullet"/>
        <w:spacing w:after="60"/>
        <w:ind w:left="360" w:hanging="230"/>
      </w:pPr>
      <w:r>
        <w:t>Improved explanation of review decisions</w:t>
      </w:r>
    </w:p>
    <w:p>
      <w:pPr>
        <w:pStyle w:val="ListBullet"/>
        <w:spacing w:after="60"/>
        <w:ind w:left="360" w:hanging="230"/>
      </w:pPr>
      <w:r>
        <w:t>Reduced administrative motion</w:t>
      </w:r>
    </w:p>
    <w:p>
      <w:pPr>
        <w:pStyle w:val="ListBullet"/>
        <w:spacing w:after="60"/>
        <w:ind w:left="360" w:hanging="230"/>
      </w:pPr>
      <w:r>
        <w:t>More focused human-review workload</w:t>
      </w:r>
    </w:p>
    <w:p>
      <w:pPr>
        <w:pStyle w:val="ListBullet"/>
        <w:spacing w:after="60"/>
        <w:ind w:left="360" w:hanging="230"/>
      </w:pPr>
      <w:r>
        <w:t>Authorized financial adjustments</w:t>
      </w:r>
    </w:p>
    <w:p>
      <w:pPr>
        <w:pStyle w:val="ListBullet"/>
        <w:spacing w:after="60"/>
        <w:ind w:left="360" w:hanging="230"/>
      </w:pPr>
      <w:r>
        <w:t>Customer satisfaction</w:t>
      </w:r>
    </w:p>
    <w:p>
      <w:pPr>
        <w:pStyle w:val="ListBullet"/>
        <w:spacing w:after="60"/>
        <w:ind w:left="360" w:hanging="230"/>
      </w:pPr>
      <w:r>
        <w:t>Continued product use</w:t>
      </w:r>
    </w:p>
    <w:p>
      <w:pPr>
        <w:pStyle w:val="Heading2"/>
      </w:pPr>
      <w:r>
        <w:t>12.26 Financial Claim Discipline</w:t>
      </w:r>
    </w:p>
    <w:p>
      <w:r>
        <w:t>DRE’s commercial model preserves the same financial distinction used throughout the product architecture:</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FINANCIAL CLAIM PROGRESSION</w:t>
              <w:br/>
            </w:r>
            <w:r>
              <w:t>Identified amount → proposed adjustment → authorized adjustment → realized outcome.</w:t>
            </w:r>
          </w:p>
        </w:tc>
      </w:tr>
    </w:tbl>
    <w:p/>
    <w:p>
      <w:r>
        <w:t>A DRE calculation does not automatically become customer savings.</w:t>
      </w:r>
    </w:p>
    <w:p>
      <w:r>
        <w:t>A customer outcome can be claimed only to the degree supported by the customer’s actual disposition and resulting financial evidence.</w:t>
      </w:r>
    </w:p>
    <w:p>
      <w:pPr>
        <w:pStyle w:val="Heading2"/>
      </w:pPr>
      <w:r>
        <w:t>12.27 Customer Expansion</w:t>
      </w:r>
    </w:p>
    <w:p>
      <w:r>
        <w:t>If DRE proves useful within an initial deployment, expansion may occur through actual customer need.</w:t>
      </w:r>
    </w:p>
    <w:p>
      <w:pPr>
        <w:pStyle w:val="ListBullet"/>
        <w:spacing w:after="60"/>
        <w:ind w:left="360" w:hanging="230"/>
      </w:pPr>
      <w:r>
        <w:t>Additional legal matters</w:t>
      </w:r>
    </w:p>
    <w:p>
      <w:pPr>
        <w:pStyle w:val="ListBullet"/>
        <w:spacing w:after="60"/>
        <w:ind w:left="360" w:hanging="230"/>
      </w:pPr>
      <w:r>
        <w:t>Additional billing populations</w:t>
      </w:r>
    </w:p>
    <w:p>
      <w:pPr>
        <w:pStyle w:val="ListBullet"/>
        <w:spacing w:after="60"/>
        <w:ind w:left="360" w:hanging="230"/>
      </w:pPr>
      <w:r>
        <w:t>Additional OCGs</w:t>
      </w:r>
    </w:p>
    <w:p>
      <w:pPr>
        <w:pStyle w:val="ListBullet"/>
        <w:spacing w:after="60"/>
        <w:ind w:left="360" w:hanging="230"/>
      </w:pPr>
      <w:r>
        <w:t>Additional departments</w:t>
      </w:r>
    </w:p>
    <w:p>
      <w:pPr>
        <w:pStyle w:val="ListBullet"/>
        <w:spacing w:after="60"/>
        <w:ind w:left="360" w:hanging="230"/>
      </w:pPr>
      <w:r>
        <w:t>Additional organizational entities</w:t>
      </w:r>
    </w:p>
    <w:p>
      <w:pPr>
        <w:pStyle w:val="ListBullet"/>
        <w:spacing w:after="60"/>
        <w:ind w:left="360" w:hanging="230"/>
      </w:pPr>
      <w:r>
        <w:t>Additional Azure environments</w:t>
      </w:r>
    </w:p>
    <w:p>
      <w:pPr>
        <w:pStyle w:val="ListBullet"/>
        <w:spacing w:after="60"/>
        <w:ind w:left="360" w:hanging="230"/>
      </w:pPr>
      <w:r>
        <w:t>Greater processing volume</w:t>
      </w:r>
    </w:p>
    <w:p>
      <w:pPr>
        <w:pStyle w:val="Heading2"/>
      </w:pPr>
      <w:r>
        <w:t>12.28 Renewal and Recurring Relationship</w:t>
      </w:r>
    </w:p>
    <w:p>
      <w:r>
        <w:t>Because outside-counsel billing continues over time, DRE can become an ongoing operational capability rather than a one-time project.</w:t>
      </w:r>
    </w:p>
    <w:p>
      <w:pPr>
        <w:pStyle w:val="ListBullet"/>
        <w:spacing w:after="60"/>
        <w:ind w:left="360" w:hanging="230"/>
      </w:pPr>
      <w:r>
        <w:t>Product use</w:t>
      </w:r>
    </w:p>
    <w:p>
      <w:pPr>
        <w:pStyle w:val="ListBullet"/>
        <w:spacing w:after="60"/>
        <w:ind w:left="360" w:hanging="230"/>
      </w:pPr>
      <w:r>
        <w:t>Review volume</w:t>
      </w:r>
    </w:p>
    <w:p>
      <w:pPr>
        <w:pStyle w:val="ListBullet"/>
        <w:spacing w:after="60"/>
        <w:ind w:left="360" w:hanging="230"/>
      </w:pPr>
      <w:r>
        <w:t>Customer outcomes</w:t>
      </w:r>
    </w:p>
    <w:p>
      <w:pPr>
        <w:pStyle w:val="ListBullet"/>
        <w:spacing w:after="60"/>
        <w:ind w:left="360" w:hanging="230"/>
      </w:pPr>
      <w:r>
        <w:t>Reliability</w:t>
      </w:r>
    </w:p>
    <w:p>
      <w:pPr>
        <w:pStyle w:val="ListBullet"/>
        <w:spacing w:after="60"/>
        <w:ind w:left="360" w:hanging="230"/>
      </w:pPr>
      <w:r>
        <w:t>Support experience</w:t>
      </w:r>
    </w:p>
    <w:p>
      <w:pPr>
        <w:pStyle w:val="ListBullet"/>
        <w:spacing w:after="60"/>
        <w:ind w:left="360" w:hanging="230"/>
      </w:pPr>
      <w:r>
        <w:t>Continued organizational need</w:t>
      </w:r>
    </w:p>
    <w:p>
      <w:pPr>
        <w:pStyle w:val="ListBullet"/>
        <w:spacing w:after="60"/>
        <w:ind w:left="360" w:hanging="230"/>
      </w:pPr>
      <w:r>
        <w:t>Product improvement</w:t>
      </w:r>
    </w:p>
    <w:p>
      <w:pPr>
        <w:pStyle w:val="Heading2"/>
      </w:pPr>
      <w:r>
        <w:t>12.29 Commercial Scalability</w:t>
      </w:r>
    </w:p>
    <w:p>
      <w:r>
        <w:t>The commercial model becomes scalable as DRE reduces customer-specific manual work.</w:t>
      </w:r>
    </w:p>
    <w:p>
      <w:pPr>
        <w:pStyle w:val="ListBullet"/>
        <w:spacing w:after="60"/>
        <w:ind w:left="360" w:hanging="230"/>
      </w:pPr>
      <w:r>
        <w:t>Deployment</w:t>
      </w:r>
    </w:p>
    <w:p>
      <w:pPr>
        <w:pStyle w:val="ListBullet"/>
        <w:spacing w:after="60"/>
        <w:ind w:left="360" w:hanging="230"/>
      </w:pPr>
      <w:r>
        <w:t>Azure configuration</w:t>
      </w:r>
    </w:p>
    <w:p>
      <w:pPr>
        <w:pStyle w:val="ListBullet"/>
        <w:spacing w:after="60"/>
        <w:ind w:left="360" w:hanging="230"/>
      </w:pPr>
      <w:r>
        <w:t>OCG configuration</w:t>
      </w:r>
    </w:p>
    <w:p>
      <w:pPr>
        <w:pStyle w:val="ListBullet"/>
        <w:spacing w:after="60"/>
        <w:ind w:left="360" w:hanging="230"/>
      </w:pPr>
      <w:r>
        <w:t>Rule management</w:t>
      </w:r>
    </w:p>
    <w:p>
      <w:pPr>
        <w:pStyle w:val="ListBullet"/>
        <w:spacing w:after="60"/>
        <w:ind w:left="360" w:hanging="230"/>
      </w:pPr>
      <w:r>
        <w:t>File ingestion</w:t>
      </w:r>
    </w:p>
    <w:p>
      <w:pPr>
        <w:pStyle w:val="ListBullet"/>
        <w:spacing w:after="60"/>
        <w:ind w:left="360" w:hanging="230"/>
      </w:pPr>
      <w:r>
        <w:t>Output</w:t>
      </w:r>
    </w:p>
    <w:p>
      <w:pPr>
        <w:pStyle w:val="ListBullet"/>
        <w:spacing w:after="60"/>
        <w:ind w:left="360" w:hanging="230"/>
      </w:pPr>
      <w:r>
        <w:t>Validation</w:t>
      </w:r>
    </w:p>
    <w:p>
      <w:pPr>
        <w:pStyle w:val="ListBullet"/>
        <w:spacing w:after="60"/>
        <w:ind w:left="360" w:hanging="230"/>
      </w:pPr>
      <w:r>
        <w:t>Documentation</w:t>
      </w:r>
    </w:p>
    <w:p>
      <w:pPr>
        <w:pStyle w:val="ListBullet"/>
        <w:spacing w:after="60"/>
        <w:ind w:left="360" w:hanging="230"/>
      </w:pPr>
      <w:r>
        <w:t>Support</w:t>
      </w:r>
    </w:p>
    <w:p>
      <w:pPr>
        <w:pStyle w:val="ListBullet"/>
        <w:spacing w:after="60"/>
        <w:ind w:left="360" w:hanging="230"/>
      </w:pPr>
      <w:r>
        <w:t>Updates</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TRANSITION</w:t>
              <w:br/>
            </w:r>
            <w:r>
              <w:t>High-touch early learning → repeatable product configuration → repeatable deployment → repeatable commercial operation.</w:t>
            </w:r>
          </w:p>
        </w:tc>
      </w:tr>
    </w:tbl>
    <w:p/>
    <w:p>
      <w:r>
        <w:t>Early customer involvement is useful precisely because it identifies what must become repeatable.</w:t>
      </w:r>
    </w:p>
    <w:p>
      <w:pPr>
        <w:pStyle w:val="Heading2"/>
      </w:pPr>
      <w:r>
        <w:t>12.30 Commercial Boundaries</w:t>
      </w:r>
    </w:p>
    <w:p>
      <w:r>
        <w:t>DRE should resist commercial pressure to become an unlimited custom-development engagement.</w:t>
      </w:r>
    </w:p>
    <w:p>
      <w:pPr>
        <w:pStyle w:val="ListBullet"/>
        <w:spacing w:after="60"/>
        <w:ind w:left="360" w:hanging="230"/>
      </w:pPr>
      <w:r>
        <w:t>Core product</w:t>
      </w:r>
    </w:p>
    <w:p>
      <w:pPr>
        <w:pStyle w:val="ListBullet"/>
        <w:spacing w:after="60"/>
        <w:ind w:left="360" w:hanging="230"/>
      </w:pPr>
      <w:r>
        <w:t>Configurable product layer</w:t>
      </w:r>
    </w:p>
    <w:p>
      <w:pPr>
        <w:pStyle w:val="ListBullet"/>
        <w:spacing w:after="60"/>
        <w:ind w:left="360" w:hanging="230"/>
      </w:pPr>
      <w:r>
        <w:t>Integration layer</w:t>
      </w:r>
    </w:p>
    <w:p>
      <w:pPr>
        <w:pStyle w:val="ListBullet"/>
        <w:spacing w:after="60"/>
        <w:ind w:left="360" w:hanging="230"/>
      </w:pPr>
      <w:r>
        <w:t>Support</w:t>
      </w:r>
    </w:p>
    <w:p>
      <w:pPr>
        <w:pStyle w:val="ListBullet"/>
        <w:spacing w:after="60"/>
        <w:ind w:left="360" w:hanging="230"/>
      </w:pPr>
      <w:r>
        <w:t>Separate professional service</w:t>
      </w:r>
    </w:p>
    <w:p>
      <w:pPr>
        <w:pStyle w:val="ListBullet"/>
        <w:spacing w:after="60"/>
        <w:ind w:left="360" w:hanging="230"/>
      </w:pPr>
      <w:r>
        <w:t>Deliberate exclusion</w:t>
      </w:r>
    </w:p>
    <w:p>
      <w:pPr>
        <w:pStyle w:val="Heading2"/>
      </w:pPr>
      <w:r>
        <w:t>12.31 Immediate Commercial Sequence</w:t>
      </w:r>
    </w:p>
    <w:p>
      <w:r>
        <w:t>The immediate sequence is:</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IMMEDIATE SEQUENCE</w:t>
              <w:br/>
            </w:r>
            <w:r>
              <w:t>Working demonstration → free evaluators → feedback → waitlist/early access → targeted legal-operations/customer outreach → serious customer conversations → design-partner opportunity → initial commercial engagement → Azure deployment progression.</w:t>
            </w:r>
          </w:p>
        </w:tc>
      </w:tr>
    </w:tbl>
    <w:p/>
    <w:p>
      <w:r>
        <w:t>Investor outreach and Microsoft/Azure progression can occur alongside that commercial work.</w:t>
      </w:r>
    </w:p>
    <w:p>
      <w:r>
        <w:t>DRE does not need to wait for every future product feature before beginning customer discovery and commercial conversations.</w:t>
      </w:r>
    </w:p>
    <w:p>
      <w:pPr>
        <w:pStyle w:val="Heading2"/>
      </w:pPr>
      <w:r>
        <w:t>12.32 Commercial Principle</w:t>
      </w:r>
    </w:p>
    <w:p>
      <w:r>
        <w:t>The commercial model should remain as focused as the product:</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COMMERCIAL PRINCIPLE</w:t>
              <w:br/>
            </w:r>
            <w:r>
              <w:t>Show the product. Let people use it. Find the organizations with the actual problem. Learn what real deployment requires. Ask serious customers for a serious commitment. Convert repeated requirements into product architecture. Deploy inside the customer’s Azure environment. Build recurring revenue around continuing legal-billing review.</w:t>
            </w:r>
          </w:p>
        </w:tc>
      </w:tr>
    </w:tbl>
    <w:p/>
    <w:p>
      <w:r>
        <w:t>The immediate commercial hypothesis is intentionally simple.</w:t>
      </w:r>
    </w:p>
    <w:p>
      <w:r>
        <w:t>Prove that organizations value the focused review capability first.</w:t>
      </w:r>
    </w:p>
    <w:p>
      <w:r>
        <w:t>Then let actual customer evidence determine how DRE’s mature pricing, packaging, onboarding, support, and expansion model should evolve.</w:t>
      </w:r>
    </w:p>
    <w:sectPr w:rsidR="00FC693F" w:rsidRPr="0006063C" w:rsidSect="00034616">
      <w:headerReference w:type="default" r:id="rId9"/>
      <w:footerReference w:type="default" r:id="rId10"/>
      <w:pgSz w:w="12240" w:h="15840"/>
      <w:pgMar w:top="1037" w:right="1181" w:bottom="1037" w:left="1181"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Aptos" w:hAnsi="Aptos"/>
        <w:b/>
        <w:color w:val="2E7D7A"/>
        <w:sz w:val="16"/>
      </w:rPr>
      <w:t>ENGINEERED LAUNCH  •  INTERNAL PLANNING</w:t>
    </w:r>
  </w:p>
  <w:p>
    <w:pPr>
      <w:jc w:val="right"/>
    </w:pPr>
    <w:r>
      <w:fldChar w:fldCharType="begin"/>
      <w:instrText>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Aptos" w:hAnsi="Aptos"/>
        <w:b/>
        <w:color w:val="2E7D7A"/>
        <w:sz w:val="17"/>
      </w:rPr>
      <w:t>DRE  |  INTERNAL PRODUCT, DEPLOYMENT &amp; COMMERCIALIZATION PLAN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24313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Theme="majorHAnsi" w:eastAsiaTheme="majorEastAsia" w:hAnsiTheme="majorHAnsi" w:cstheme="majorBidi" w:ascii="Aptos Display" w:hAnsi="Aptos Display"/>
      <w:b/>
      <w:bCs/>
      <w:color w:val="16324F"/>
      <w:sz w:val="40"/>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Theme="majorHAnsi" w:eastAsiaTheme="majorEastAsia" w:hAnsiTheme="majorHAnsi" w:cstheme="majorBidi" w:ascii="Aptos Display" w:hAnsi="Aptos Display"/>
      <w:b/>
      <w:bCs/>
      <w:color w:val="1F5F8B"/>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llout">
    <w:name w:val="Callout"/>
    <w:rPr>
      <w:rFonts w:ascii="Aptos" w:hAnsi="Aptos"/>
      <w:b/>
      <w:color w:val="16324F"/>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oreProperties xmlns:dc="http://purl.org/dc/elements/1.1/" xmlns:dcterms="http://purl.org/dc/terms/" xmlns:xsi="http://www.w3.org/2001/XMLSchema-instance" xmlns="http://schemas.openxmlformats.org/package/2006/metadata/core-properties">
  <dc:title>DRE — Internal Product, Deployment &amp; Commercialization Plan</dc:title>
  <dc:subject>Part 3 — Sections 9–12</dc:subject>
  <dc:creator>Jamie Schallert</dc:creator>
  <keywords/>
  <dc:description>generated by python-docx</dc:description>
  <lastModifiedBy>Jamie Schallert</lastModifiedBy>
  <revision>1</revision>
  <dcterms:created xsi:type="dcterms:W3CDTF">2026-09-14T01:14:29.0732933Z</dcterms:created>
  <dcterms:modified xsi:type="dcterms:W3CDTF">2026-09-14T01:14:29.0732933Z</dcterms:modified>
  <category/>
</coreProperties>
</file>