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5. Azure Architecture</w:t>
      </w:r>
    </w:p>
    <w:p>
      <w:r>
        <w:t>DRE is being designed as an Azure-native legal billing review system that operates inside a customer-controlled Microsoft Azure environment and coexists with the customer’s existing legal technology stack.</w:t>
      </w:r>
    </w:p>
    <w:p>
      <w:r>
        <w:t>The Azure architecture is not a separate technical concern from the product architecture. It is the infrastructure boundary that is intended to support DRE’s deterministic processing, controlled AI exception review, evidence preservation, identity, network isolation, secrets management, observability, and customer governance.</w:t>
      </w:r>
    </w:p>
    <w:p>
      <w:r>
        <w:t>The current infrastructure work establishes a meaningful Azure foundation, but it is not yet a complete production deployment. The supplied Bicep currently provisions a Virtual Network, Azure Key Vault, Azure Cosmos DB account, and Azure OpenAI account with public network access disabled. Private endpoints, DNS, application hosting, service identities, authorization, database containers, model deployments, monitoring, and several other enterprise controls remain implementation work. LegalFirewall_Azure_Deployment_Process_Guide 1.docx</w:t>
      </w:r>
    </w:p>
    <w:tbl>
      <w:tblPr>
        <w:tblW w:type="auto" w:w="0"/>
        <w:jc w:val="center"/>
        <w:tblLayout w:type="fixed"/>
        <w:tblLook w:firstColumn="1" w:firstRow="1" w:lastColumn="0" w:lastRow="0" w:noHBand="0" w:noVBand="1" w:val="04A0"/>
      </w:tblPr>
      <w:tblGrid>
        <w:gridCol w:w="173"/>
        <w:gridCol w:w="9475"/>
      </w:tblGrid>
      <w:tr>
        <w:tc>
          <w:tcPr>
            <w:tcW w:type="dxa" w:w="4939"/>
            <w:shd w:fill="C89B3C"/>
          </w:tcPr>
          <w:p>
            <w:r/>
          </w:p>
        </w:tc>
        <w:tc>
          <w:tcPr>
            <w:tcW w:type="dxa" w:w="4939"/>
            <w:shd w:fill="F7F2E8"/>
            <w:tcMar>
              <w:top w:w="160" w:type="dxa"/>
              <w:start w:w="160" w:type="dxa"/>
              <w:bottom w:w="160" w:type="dxa"/>
              <w:end w:w="160" w:type="dxa"/>
            </w:tcMar>
          </w:tcPr>
          <w:p>
            <w:pPr>
              <w:pStyle w:val="Callout"/>
            </w:pPr>
            <w:r>
              <w:rPr>
                <w:color w:val="C89B3C"/>
                <w:sz w:val="16"/>
              </w:rPr>
              <w:t>CURRENT FOUNDATION VS. INTENDED DEPLOYMENT</w:t>
              <w:br/>
            </w:r>
            <w:r>
              <w:t>The current infrastructure work establishes a meaningful Azure foundation, but it is not yet a complete production deployment.</w:t>
            </w:r>
          </w:p>
        </w:tc>
      </w:tr>
    </w:tbl>
    <w:p/>
    <w:p>
      <w:pPr>
        <w:pStyle w:val="Heading2"/>
      </w:pPr>
      <w:r>
        <w:t>5.1 Customer-Owned Azure Deployment</w:t>
      </w:r>
    </w:p>
    <w:p>
      <w:r>
        <w:t>The deployment direction is for DRE to operate inside the customer’s own Azure environment.</w:t>
      </w:r>
    </w:p>
    <w:p>
      <w:r>
        <w:t>This allows DRE to function as a controlled processing layer within the customer’s existing Microsoft ecosystem rather than requiring the customer to move legal-billing operations into a separate replacement platform.</w:t>
      </w:r>
    </w:p>
    <w:p>
      <w:r>
        <w:t>The intended model gives the customer control over the Azure environment in which DRE operates, including the surrounding enterprise identity, network, access, logging, security, and governance controls.</w:t>
      </w:r>
    </w:p>
    <w:p>
      <w:r>
        <w:t>DRE is therefore designed to become part of the customer’s existing enterprise environment rather than becoming an external legal-data destination.</w:t>
      </w:r>
    </w:p>
    <w:p>
      <w:r>
        <w:t>The broader architecture documentation describes this as a customer-controlled Azure deployment model with private connectivity, service isolation, identity, secrets management, structured messaging, observability, and auditable processing. DRE_Long_Form_Investor_Sheet_with_Infographic 1.docx</w:t>
      </w:r>
    </w:p>
    <w:p>
      <w:pPr>
        <w:pStyle w:val="Heading2"/>
      </w:pPr>
      <w:r>
        <w:t>5.2 Microsoft Ecosystem Model</w:t>
      </w:r>
    </w:p>
    <w:p>
      <w:r>
        <w:t>The operating principle is:</w:t>
      </w:r>
    </w:p>
    <w:p>
      <w:r>
        <w:t>Deploy DRE into the customer’s Azure environment. Stay in the customer’s existing Microsoft ecosystem. Work where the customer already works.</w:t>
      </w:r>
    </w:p>
    <w:p>
      <w:r>
        <w:t>DRE is not intended to require replacement of the customer’s billing system of record merely to perform billing review.</w:t>
      </w:r>
    </w:p>
    <w:p>
      <w:r>
        <w:t>The Azure layer is intended to receive or interact with structured legal-billing transactions, process them through the DRE review architecture, preserve review evidence and state, and return controlled results to the surrounding legal-billing workflow.</w:t>
      </w:r>
    </w:p>
    <w:p>
      <w:r>
        <w:t>This makes DRE a review and control layer rather than a forced replacement for the customer’s broader legal-operations environment.</w:t>
      </w:r>
    </w:p>
    <w:tbl>
      <w:tblPr>
        <w:tblW w:type="auto" w:w="0"/>
        <w:jc w:val="center"/>
        <w:tblLayout w:type="fixed"/>
        <w:tblLook w:firstColumn="1" w:firstRow="1" w:lastColumn="0" w:lastRow="0" w:noHBand="0" w:noVBand="1" w:val="04A0"/>
      </w:tblPr>
      <w:tblGrid>
        <w:gridCol w:w="173"/>
        <w:gridCol w:w="9475"/>
      </w:tblGrid>
      <w:tr>
        <w:tc>
          <w:tcPr>
            <w:tcW w:type="dxa" w:w="4939"/>
            <w:shd w:fill="2E7D7A"/>
          </w:tcPr>
          <w:p>
            <w:r/>
          </w:p>
        </w:tc>
        <w:tc>
          <w:tcPr>
            <w:tcW w:type="dxa" w:w="4939"/>
            <w:shd w:fill="EAF1F5"/>
            <w:tcMar>
              <w:top w:w="160" w:type="dxa"/>
              <w:start w:w="160" w:type="dxa"/>
              <w:bottom w:w="160" w:type="dxa"/>
              <w:end w:w="160" w:type="dxa"/>
            </w:tcMar>
          </w:tcPr>
          <w:p>
            <w:pPr>
              <w:pStyle w:val="Callout"/>
            </w:pPr>
            <w:r>
              <w:rPr>
                <w:color w:val="2E7D7A"/>
                <w:sz w:val="16"/>
              </w:rPr>
              <w:t>OPERATING PRINCIPLE</w:t>
              <w:br/>
            </w:r>
            <w:r>
              <w:t>Deploy DRE into the customer’s Azure environment. Stay in the customer’s existing Microsoft ecosystem. Work where the customer already works.</w:t>
            </w:r>
          </w:p>
        </w:tc>
      </w:tr>
    </w:tbl>
    <w:p/>
    <w:p>
      <w:pPr>
        <w:pStyle w:val="Heading2"/>
      </w:pPr>
      <w:r>
        <w:t>5.3 Infrastructure as Code — Bicep</w:t>
      </w:r>
    </w:p>
    <w:p>
      <w:r>
        <w:t>The current Azure infrastructure foundation is represented in Bicep.</w:t>
      </w:r>
    </w:p>
    <w:p>
      <w:r>
        <w:t>The supplied template uses reusable parameters for deployment location and naming and declares Azure resources through a repeatable infrastructure definition.</w:t>
      </w:r>
    </w:p>
    <w:p>
      <w:r>
        <w:t>The current naming prefix is legalfirewall.</w:t>
      </w:r>
    </w:p>
    <w:p>
      <w:r>
        <w:t>Infrastructure as Code is important to DRE because the deployment itself becomes reviewable, repeatable, version-controlled infrastructure rather than an undocumented collection of manually configured Azure resources.</w:t>
      </w:r>
    </w:p>
    <w:p>
      <w:r>
        <w:t>The current Bicep creates four principal resources:</w:t>
      </w:r>
    </w:p>
    <w:p>
      <w:pPr>
        <w:pStyle w:val="ListBullet"/>
        <w:spacing w:after="60"/>
        <w:ind w:left="360" w:hanging="230"/>
      </w:pPr>
      <w:r>
        <w:t>1. Azure Virtual Network</w:t>
      </w:r>
    </w:p>
    <w:p>
      <w:pPr>
        <w:pStyle w:val="ListBullet"/>
        <w:spacing w:after="60"/>
        <w:ind w:left="360" w:hanging="230"/>
      </w:pPr>
      <w:r>
        <w:t>2. Azure Key Vault</w:t>
      </w:r>
    </w:p>
    <w:p>
      <w:pPr>
        <w:pStyle w:val="ListBullet"/>
        <w:spacing w:after="60"/>
        <w:ind w:left="360" w:hanging="230"/>
      </w:pPr>
      <w:r>
        <w:t>3. Azure Cosmos DB account</w:t>
      </w:r>
    </w:p>
    <w:p>
      <w:pPr>
        <w:pStyle w:val="ListBullet"/>
        <w:spacing w:after="60"/>
        <w:ind w:left="360" w:hanging="230"/>
      </w:pPr>
      <w:r>
        <w:t>4. Azure OpenAI account</w:t>
      </w:r>
    </w:p>
    <w:p>
      <w:r>
        <w:t>LegalFirewall_Azure_Deployment_Process_Guide_main_bicep.docx</w:t>
      </w:r>
    </w:p>
    <w:p>
      <w:pPr>
        <w:pStyle w:val="Heading2"/>
      </w:pPr>
      <w:r>
        <w:t>5.4 Azure Virtual Network</w:t>
      </w:r>
    </w:p>
    <w:p>
      <w:r>
        <w:t>The current Bicep declares a Virtual Network using:</w:t>
      </w:r>
    </w:p>
    <w:p>
      <w:pPr>
        <w:pStyle w:val="ListBullet"/>
        <w:spacing w:after="60"/>
        <w:ind w:left="360" w:hanging="230"/>
      </w:pPr>
      <w:r>
        <w:t>Address space: 10.0.0.0/16</w:t>
      </w:r>
    </w:p>
    <w:p>
      <w:pPr>
        <w:pStyle w:val="ListBullet"/>
        <w:spacing w:after="60"/>
        <w:ind w:left="360" w:hanging="230"/>
      </w:pPr>
      <w:r>
        <w:t>Application subnet: 10.0.1.0/24</w:t>
      </w:r>
    </w:p>
    <w:p>
      <w:pPr>
        <w:pStyle w:val="ListBullet"/>
        <w:spacing w:after="60"/>
        <w:ind w:left="360" w:hanging="230"/>
      </w:pPr>
      <w:r>
        <w:t>Subnet name: AppSubnet</w:t>
      </w:r>
    </w:p>
    <w:p>
      <w:r>
        <w:t>The VNet establishes the beginning of DRE’s intended private network boundary.</w:t>
      </w:r>
    </w:p>
    <w:p>
      <w:r>
        <w:t>Its current significance is foundational. The network exists as a place into which private endpoints and application workloads can later be integrated.</w:t>
      </w:r>
    </w:p>
    <w:p>
      <w:r>
        <w:t>The VNet by itself does not make the architecture private. The existing infrastructure documentation specifically identifies that private endpoints, private DNS zones and links, routing, subnet policies, network-security design, and workload integration still need to be implemented. LegalFirewall_Azure_Deployment_Process_Guide 1.docx</w:t>
      </w:r>
    </w:p>
    <w:p>
      <w:pPr>
        <w:pStyle w:val="Heading2"/>
      </w:pPr>
      <w:r>
        <w:t>5.5 Application Runtime</w:t>
      </w:r>
    </w:p>
    <w:p>
      <w:r>
        <w:t>The broader DRE architecture requires a controlled application/runtime boundary in Azure for the deterministic engine, orchestration logic, and related processing components.</w:t>
      </w:r>
    </w:p>
    <w:p>
      <w:r>
        <w:t>The intended architecture identifies an Azure application execution layer capable of receiving transactions and running deterministic processing inside the governed environment.</w:t>
      </w:r>
    </w:p>
    <w:p>
      <w:r>
        <w:t>Earlier architectural planning identifies Azure Container Apps as the likely serverless/containerized JavaScript runtime direction.</w:t>
      </w:r>
    </w:p>
    <w:p>
      <w:r>
        <w:t>However, the current supplied Bicep does not provision an application-hosting resource.</w:t>
      </w:r>
    </w:p>
    <w:p>
      <w:r>
        <w:t>Application runtime deployment therefore remains part of the Azure build-out rather than a capability demonstrated by the current infrastructure template.</w:t>
      </w:r>
    </w:p>
    <w:p>
      <w:pPr>
        <w:pStyle w:val="Heading2"/>
      </w:pPr>
      <w:r>
        <w:t>5.6 Structured Messaging and Transaction Queuing</w:t>
      </w:r>
    </w:p>
    <w:p>
      <w:r>
        <w:t>The intended DRE architecture includes structured messaging between processing components.</w:t>
      </w:r>
    </w:p>
    <w:p>
      <w:r>
        <w:t>Azure Service Bus has been identified as the messaging and quarantine mechanism capable of:</w:t>
      </w:r>
    </w:p>
    <w:p>
      <w:pPr>
        <w:pStyle w:val="ListBullet"/>
        <w:spacing w:after="60"/>
        <w:ind w:left="360" w:hanging="230"/>
      </w:pPr>
      <w:r>
        <w:t>Buffering transaction work</w:t>
      </w:r>
    </w:p>
    <w:p>
      <w:pPr>
        <w:pStyle w:val="ListBullet"/>
        <w:spacing w:after="60"/>
        <w:ind w:left="360" w:hanging="230"/>
      </w:pPr>
      <w:r>
        <w:t>Routing exceptions</w:t>
      </w:r>
    </w:p>
    <w:p>
      <w:pPr>
        <w:pStyle w:val="ListBullet"/>
        <w:spacing w:after="60"/>
        <w:ind w:left="360" w:hanging="230"/>
      </w:pPr>
      <w:r>
        <w:t>Supporting retries</w:t>
      </w:r>
    </w:p>
    <w:p>
      <w:pPr>
        <w:pStyle w:val="ListBullet"/>
        <w:spacing w:after="60"/>
        <w:ind w:left="360" w:hanging="230"/>
      </w:pPr>
      <w:r>
        <w:t>Preserving controlled processing states</w:t>
      </w:r>
    </w:p>
    <w:p>
      <w:pPr>
        <w:pStyle w:val="ListBullet"/>
        <w:spacing w:after="60"/>
        <w:ind w:left="360" w:hanging="230"/>
      </w:pPr>
      <w:r>
        <w:t>Separating processing stages</w:t>
      </w:r>
    </w:p>
    <w:p>
      <w:r>
        <w:t>This is particularly relevant to the future production architecture because DRE distinguishes clean deterministic processing from quarantined semantic exceptions.</w:t>
      </w:r>
    </w:p>
    <w:p>
      <w:r>
        <w:t>The current Bicep does not provision Azure Service Bus, so messaging and queue infrastructure remain part of the intended architecture rather than the currently provisioned foundation.</w:t>
      </w:r>
    </w:p>
    <w:p>
      <w:pPr>
        <w:pStyle w:val="Heading2"/>
      </w:pPr>
      <w:r>
        <w:t>5.7 Azure OpenAI</w:t>
      </w:r>
    </w:p>
    <w:p>
      <w:r>
        <w:t>The current Bicep provisions an Azure OpenAI Cognitive Services account using the S0 SKU.</w:t>
      </w:r>
    </w:p>
    <w:p>
      <w:r>
        <w:t>The account:</w:t>
      </w:r>
    </w:p>
    <w:p>
      <w:pPr>
        <w:pStyle w:val="ListBullet"/>
        <w:spacing w:after="60"/>
        <w:ind w:left="360" w:hanging="230"/>
      </w:pPr>
      <w:r>
        <w:t>Uses a custom subdomain</w:t>
      </w:r>
    </w:p>
    <w:p>
      <w:pPr>
        <w:pStyle w:val="ListBullet"/>
        <w:spacing w:after="60"/>
        <w:ind w:left="360" w:hanging="230"/>
      </w:pPr>
      <w:r>
        <w:t>Is created in the selected Azure region</w:t>
      </w:r>
    </w:p>
    <w:p>
      <w:pPr>
        <w:pStyle w:val="ListBullet"/>
        <w:spacing w:after="60"/>
        <w:ind w:left="360" w:hanging="230"/>
      </w:pPr>
      <w:r>
        <w:t>Has publicNetworkAccess set to Disabled</w:t>
      </w:r>
    </w:p>
    <w:p>
      <w:r>
        <w:t>That disabled-public-access setting is one of the strongest controls actually present in the current infrastructure definition. LegalFirewall_Azure_Deployment_Process_Guide 1.docx</w:t>
      </w:r>
    </w:p>
    <w:p>
      <w:r>
        <w:t>Azure OpenAI is intended to host the model deployments used by DRE’s semantic exception-review layer.</w:t>
      </w:r>
    </w:p>
    <w:p>
      <w:r>
        <w:t>The product architecture does not send every transaction to Azure OpenAI. The deterministic engine evaluates all transactions first, and Azure OpenAI is invoked only where semantic assistance is required.</w:t>
      </w:r>
    </w:p>
    <w:p>
      <w:r>
        <w:t>The current infrastructure does not yet include:</w:t>
      </w:r>
    </w:p>
    <w:p>
      <w:pPr>
        <w:pStyle w:val="ListBullet"/>
        <w:spacing w:after="60"/>
        <w:ind w:left="360" w:hanging="230"/>
      </w:pPr>
      <w:r>
        <w:t>Azure OpenAI model deployment</w:t>
      </w:r>
    </w:p>
    <w:p>
      <w:pPr>
        <w:pStyle w:val="ListBullet"/>
        <w:spacing w:after="60"/>
        <w:ind w:left="360" w:hanging="230"/>
      </w:pPr>
      <w:r>
        <w:t>Private endpoint</w:t>
      </w:r>
    </w:p>
    <w:p>
      <w:pPr>
        <w:pStyle w:val="ListBullet"/>
        <w:spacing w:after="60"/>
        <w:ind w:left="360" w:hanging="230"/>
      </w:pPr>
      <w:r>
        <w:t>Private DNS</w:t>
      </w:r>
    </w:p>
    <w:p>
      <w:pPr>
        <w:pStyle w:val="ListBullet"/>
        <w:spacing w:after="60"/>
        <w:ind w:left="360" w:hanging="230"/>
      </w:pPr>
      <w:r>
        <w:t>Application connectivity</w:t>
      </w:r>
    </w:p>
    <w:p>
      <w:pPr>
        <w:pStyle w:val="ListBullet"/>
        <w:spacing w:after="60"/>
        <w:ind w:left="360" w:hanging="230"/>
      </w:pPr>
      <w:r>
        <w:t>Managed identity/RBAC configuration</w:t>
      </w:r>
    </w:p>
    <w:p>
      <w:pPr>
        <w:pStyle w:val="ListBullet"/>
        <w:spacing w:after="60"/>
        <w:ind w:left="360" w:hanging="230"/>
      </w:pPr>
      <w:r>
        <w:t>Content-control decisions</w:t>
      </w:r>
    </w:p>
    <w:p>
      <w:pPr>
        <w:pStyle w:val="ListBullet"/>
        <w:spacing w:after="60"/>
        <w:ind w:left="360" w:hanging="230"/>
      </w:pPr>
      <w:r>
        <w:t>Quota configuration</w:t>
      </w:r>
    </w:p>
    <w:p>
      <w:pPr>
        <w:pStyle w:val="ListBullet"/>
        <w:spacing w:after="60"/>
        <w:ind w:left="360" w:hanging="230"/>
      </w:pPr>
      <w:r>
        <w:t>Diagnostic settings</w:t>
      </w:r>
    </w:p>
    <w:p>
      <w:r>
        <w:t>Therefore, the Azure OpenAI account exists in the infrastructure definition, while the complete private model-serving path remains to be built. LegalFirewall_Azure_Deployment_Process_Guide 1.docx</w:t>
      </w:r>
    </w:p>
    <w:p>
      <w:pPr>
        <w:pStyle w:val="Heading2"/>
      </w:pPr>
      <w:r>
        <w:t>5.8 Azure Cosmos DB</w:t>
      </w:r>
    </w:p>
    <w:p>
      <w:r>
        <w:t>The current Bicep provisions an Azure Cosmos DB GlobalDocumentDB account using the Standard offer type with one primary regional location.</w:t>
      </w:r>
    </w:p>
    <w:p>
      <w:r>
        <w:t>Cosmos DB is intended to provide structured storage for DRE transaction state and audit information.</w:t>
      </w:r>
    </w:p>
    <w:p>
      <w:r>
        <w:t>The broader architecture requires preservation of evidence including:</w:t>
      </w:r>
    </w:p>
    <w:p>
      <w:pPr>
        <w:pStyle w:val="ListBullet"/>
        <w:spacing w:after="60"/>
        <w:ind w:left="360" w:hanging="230"/>
      </w:pPr>
      <w:r>
        <w:t>Original transaction</w:t>
      </w:r>
    </w:p>
    <w:p>
      <w:pPr>
        <w:pStyle w:val="ListBullet"/>
        <w:spacing w:after="60"/>
        <w:ind w:left="360" w:hanging="230"/>
      </w:pPr>
      <w:r>
        <w:t>Rules applied</w:t>
      </w:r>
    </w:p>
    <w:p>
      <w:pPr>
        <w:pStyle w:val="ListBullet"/>
        <w:spacing w:after="60"/>
        <w:ind w:left="360" w:hanging="230"/>
      </w:pPr>
      <w:r>
        <w:t>Processing state</w:t>
      </w:r>
    </w:p>
    <w:p>
      <w:pPr>
        <w:pStyle w:val="ListBullet"/>
        <w:spacing w:after="60"/>
        <w:ind w:left="360" w:hanging="230"/>
      </w:pPr>
      <w:r>
        <w:t>Deterministic findings</w:t>
      </w:r>
    </w:p>
    <w:p>
      <w:pPr>
        <w:pStyle w:val="ListBullet"/>
        <w:spacing w:after="60"/>
        <w:ind w:left="360" w:hanging="230"/>
      </w:pPr>
      <w:r>
        <w:t>Consensus record</w:t>
      </w:r>
    </w:p>
    <w:p>
      <w:pPr>
        <w:pStyle w:val="ListBullet"/>
        <w:spacing w:after="60"/>
        <w:ind w:left="360" w:hanging="230"/>
      </w:pPr>
      <w:r>
        <w:t>Recommendation</w:t>
      </w:r>
    </w:p>
    <w:p>
      <w:pPr>
        <w:pStyle w:val="ListBullet"/>
        <w:spacing w:after="60"/>
        <w:ind w:left="360" w:hanging="230"/>
      </w:pPr>
      <w:r>
        <w:t>Authorized disposition</w:t>
      </w:r>
    </w:p>
    <w:p>
      <w:r>
        <w:t>The current infrastructure provisions the Cosmos DB account, but does not yet define:</w:t>
      </w:r>
    </w:p>
    <w:p>
      <w:pPr>
        <w:pStyle w:val="ListBullet"/>
        <w:spacing w:after="60"/>
        <w:ind w:left="360" w:hanging="230"/>
      </w:pPr>
      <w:r>
        <w:t>Database</w:t>
      </w:r>
    </w:p>
    <w:p>
      <w:pPr>
        <w:pStyle w:val="ListBullet"/>
        <w:spacing w:after="60"/>
        <w:ind w:left="360" w:hanging="230"/>
      </w:pPr>
      <w:r>
        <w:t>Containers</w:t>
      </w:r>
    </w:p>
    <w:p>
      <w:pPr>
        <w:pStyle w:val="ListBullet"/>
        <w:spacing w:after="60"/>
        <w:ind w:left="360" w:hanging="230"/>
      </w:pPr>
      <w:r>
        <w:t>Partition strategy</w:t>
      </w:r>
    </w:p>
    <w:p>
      <w:pPr>
        <w:pStyle w:val="ListBullet"/>
        <w:spacing w:after="60"/>
        <w:ind w:left="360" w:hanging="230"/>
      </w:pPr>
      <w:r>
        <w:t>Consistency model</w:t>
      </w:r>
    </w:p>
    <w:p>
      <w:pPr>
        <w:pStyle w:val="ListBullet"/>
        <w:spacing w:after="60"/>
        <w:ind w:left="360" w:hanging="230"/>
      </w:pPr>
      <w:r>
        <w:t>Backup and retention decisions</w:t>
      </w:r>
    </w:p>
    <w:p>
      <w:pPr>
        <w:pStyle w:val="ListBullet"/>
        <w:spacing w:after="60"/>
        <w:ind w:left="360" w:hanging="230"/>
      </w:pPr>
      <w:r>
        <w:t>Private access</w:t>
      </w:r>
    </w:p>
    <w:p>
      <w:pPr>
        <w:pStyle w:val="ListBullet"/>
        <w:spacing w:after="60"/>
        <w:ind w:left="360" w:hanging="230"/>
      </w:pPr>
      <w:r>
        <w:t>Authorization</w:t>
      </w:r>
    </w:p>
    <w:p>
      <w:pPr>
        <w:pStyle w:val="ListBullet"/>
        <w:spacing w:after="60"/>
        <w:ind w:left="360" w:hanging="230"/>
      </w:pPr>
      <w:r>
        <w:t>Diagnostic settings</w:t>
      </w:r>
    </w:p>
    <w:p>
      <w:r>
        <w:t>The storage account therefore establishes the service boundary, but the DRE audit-data model and governed persistence configuration remain implementation work. LegalFirewall_Azure_Deployment_Process_Guide 1.docx</w:t>
      </w:r>
    </w:p>
    <w:p>
      <w:pPr>
        <w:pStyle w:val="Heading2"/>
      </w:pPr>
      <w:r>
        <w:t>5.9 Azure Key Vault</w:t>
      </w:r>
    </w:p>
    <w:p>
      <w:r>
        <w:t>The current infrastructure provisions an Azure Key Vault using the Standard SKU.</w:t>
      </w:r>
    </w:p>
    <w:p>
      <w:r>
        <w:t>The vault is intended to centralize protected configuration such as:</w:t>
      </w:r>
    </w:p>
    <w:p>
      <w:pPr>
        <w:pStyle w:val="ListBullet"/>
        <w:spacing w:after="60"/>
        <w:ind w:left="360" w:hanging="230"/>
      </w:pPr>
      <w:r>
        <w:t>Credentials</w:t>
      </w:r>
    </w:p>
    <w:p>
      <w:pPr>
        <w:pStyle w:val="ListBullet"/>
        <w:spacing w:after="60"/>
        <w:ind w:left="360" w:hanging="230"/>
      </w:pPr>
      <w:r>
        <w:t>Keys</w:t>
      </w:r>
    </w:p>
    <w:p>
      <w:pPr>
        <w:pStyle w:val="ListBullet"/>
        <w:spacing w:after="60"/>
        <w:ind w:left="360" w:hanging="230"/>
      </w:pPr>
      <w:r>
        <w:t>Certificates</w:t>
      </w:r>
    </w:p>
    <w:p>
      <w:pPr>
        <w:pStyle w:val="ListBullet"/>
        <w:spacing w:after="60"/>
        <w:ind w:left="360" w:hanging="230"/>
      </w:pPr>
      <w:r>
        <w:t>Encryption material</w:t>
      </w:r>
    </w:p>
    <w:p>
      <w:pPr>
        <w:pStyle w:val="ListBullet"/>
        <w:spacing w:after="60"/>
        <w:ind w:left="360" w:hanging="230"/>
      </w:pPr>
      <w:r>
        <w:t>Signing material</w:t>
      </w:r>
    </w:p>
    <w:p>
      <w:pPr>
        <w:pStyle w:val="ListBullet"/>
        <w:spacing w:after="60"/>
        <w:ind w:left="360" w:hanging="230"/>
      </w:pPr>
      <w:r>
        <w:t>Other protected application configuration</w:t>
      </w:r>
    </w:p>
    <w:p>
      <w:r>
        <w:t>The current template declares an empty accessPolicies array and enables deployment-related integration flags.</w:t>
      </w:r>
    </w:p>
    <w:p>
      <w:r>
        <w:t>The vault therefore exists in the infrastructure definition, but the actual authorization model remains unfinished.</w:t>
      </w:r>
    </w:p>
    <w:p>
      <w:r>
        <w:t>Future implementation must establish the chosen RBAC or access-policy model, network restrictions or private endpoint configuration, retention/purge-protection decisions, and audit diagnostics. LegalFirewall_Azure_Deployment_Process_Guide 1.docx</w:t>
      </w:r>
    </w:p>
    <w:p>
      <w:pPr>
        <w:pStyle w:val="Heading2"/>
      </w:pPr>
      <w:r>
        <w:t>5.10 Microsoft Entra ID and Managed Identity</w:t>
      </w:r>
    </w:p>
    <w:p>
      <w:r>
        <w:t>The target Azure architecture uses Microsoft Entra ID and managed identities to control application and service access.</w:t>
      </w:r>
    </w:p>
    <w:p>
      <w:r>
        <w:t>The intended model separates identities for:</w:t>
      </w:r>
    </w:p>
    <w:p>
      <w:pPr>
        <w:pStyle w:val="ListBullet"/>
        <w:spacing w:after="60"/>
        <w:ind w:left="360" w:hanging="230"/>
      </w:pPr>
      <w:r>
        <w:t>Application workloads</w:t>
      </w:r>
    </w:p>
    <w:p>
      <w:pPr>
        <w:pStyle w:val="ListBullet"/>
        <w:spacing w:after="60"/>
        <w:ind w:left="360" w:hanging="230"/>
      </w:pPr>
      <w:r>
        <w:t>Deployment automation</w:t>
      </w:r>
    </w:p>
    <w:p>
      <w:pPr>
        <w:pStyle w:val="ListBullet"/>
        <w:spacing w:after="60"/>
        <w:ind w:left="360" w:hanging="230"/>
      </w:pPr>
      <w:r>
        <w:t>Human reviewers</w:t>
      </w:r>
    </w:p>
    <w:p>
      <w:pPr>
        <w:pStyle w:val="ListBullet"/>
        <w:spacing w:after="60"/>
        <w:ind w:left="360" w:hanging="230"/>
      </w:pPr>
      <w:r>
        <w:t>Administrative users</w:t>
      </w:r>
    </w:p>
    <w:p>
      <w:pPr>
        <w:pStyle w:val="ListBullet"/>
        <w:spacing w:after="60"/>
        <w:ind w:left="360" w:hanging="230"/>
      </w:pPr>
      <w:r>
        <w:t>Supporting Azure services</w:t>
      </w:r>
    </w:p>
    <w:p>
      <w:r>
        <w:t>The objective is attributable, least-privilege access without embedding application secrets directly into source code.</w:t>
      </w:r>
    </w:p>
    <w:p>
      <w:r>
        <w:t>The existing Bicep does not currently declare managed identities or role assignments.</w:t>
      </w:r>
    </w:p>
    <w:p>
      <w:r>
        <w:t>Identity and RBAC therefore remain a required infrastructure layer rather than an implemented current control. LegalFirewall_Azure_Deployment_Process_Guide 1.docx</w:t>
      </w:r>
    </w:p>
    <w:p>
      <w:pPr>
        <w:pStyle w:val="Heading2"/>
      </w:pPr>
      <w:r>
        <w:t>5.11 Private Endpoints and Private DNS</w:t>
      </w:r>
    </w:p>
    <w:p>
      <w:r>
        <w:t>Private connectivity is central to the intended production architecture.</w:t>
      </w:r>
    </w:p>
    <w:p>
      <w:r>
        <w:t>Disabling public access to a service does not itself create a working private route.</w:t>
      </w:r>
    </w:p>
    <w:p>
      <w:r>
        <w:t>The target architecture therefore requires private endpoints and associated DNS configuration for appropriate Azure services, including:</w:t>
      </w:r>
    </w:p>
    <w:p>
      <w:pPr>
        <w:pStyle w:val="ListBullet"/>
        <w:spacing w:after="60"/>
        <w:ind w:left="360" w:hanging="230"/>
      </w:pPr>
      <w:r>
        <w:t>Azure OpenAI</w:t>
      </w:r>
    </w:p>
    <w:p>
      <w:pPr>
        <w:pStyle w:val="ListBullet"/>
        <w:spacing w:after="60"/>
        <w:ind w:left="360" w:hanging="230"/>
      </w:pPr>
      <w:r>
        <w:t>Azure Cosmos DB</w:t>
      </w:r>
    </w:p>
    <w:p>
      <w:pPr>
        <w:pStyle w:val="ListBullet"/>
        <w:spacing w:after="60"/>
        <w:ind w:left="360" w:hanging="230"/>
      </w:pPr>
      <w:r>
        <w:t>Azure Key Vault</w:t>
      </w:r>
    </w:p>
    <w:p>
      <w:r>
        <w:t>The infrastructure-validation documentation explicitly identifies private name resolution, private IP routing, and denial of unintended public access as future testable controls. DRE_runtests_ts_Relevance_and_Infrastructure_Validation.docx</w:t>
      </w:r>
    </w:p>
    <w:p>
      <w:r>
        <w:t>The desired end state is that approved workloads can resolve and reach required Azure services through intended private paths while unauthorized or unintended network paths fail.</w:t>
      </w:r>
    </w:p>
    <w:p>
      <w:pPr>
        <w:pStyle w:val="Heading2"/>
      </w:pPr>
      <w:r>
        <w:t>5.12 Identity and RBAC</w:t>
      </w:r>
    </w:p>
    <w:p>
      <w:r>
        <w:t>Authorization must be designed separately from network access.</w:t>
      </w:r>
    </w:p>
    <w:p>
      <w:r>
        <w:t>A service being reachable does not establish that every identity should be permitted to use it.</w:t>
      </w:r>
    </w:p>
    <w:p>
      <w:r>
        <w:t>The target architecture therefore requires least-privilege RBAC governing:</w:t>
      </w:r>
    </w:p>
    <w:p>
      <w:pPr>
        <w:pStyle w:val="ListBullet"/>
        <w:spacing w:after="60"/>
        <w:ind w:left="360" w:hanging="230"/>
      </w:pPr>
      <w:r>
        <w:t>Application access</w:t>
      </w:r>
    </w:p>
    <w:p>
      <w:pPr>
        <w:pStyle w:val="ListBullet"/>
        <w:spacing w:after="60"/>
        <w:ind w:left="360" w:hanging="230"/>
      </w:pPr>
      <w:r>
        <w:t>Deployment access</w:t>
      </w:r>
    </w:p>
    <w:p>
      <w:pPr>
        <w:pStyle w:val="ListBullet"/>
        <w:spacing w:after="60"/>
        <w:ind w:left="360" w:hanging="230"/>
      </w:pPr>
      <w:r>
        <w:t>Administrative access</w:t>
      </w:r>
    </w:p>
    <w:p>
      <w:pPr>
        <w:pStyle w:val="ListBullet"/>
        <w:spacing w:after="60"/>
        <w:ind w:left="360" w:hanging="230"/>
      </w:pPr>
      <w:r>
        <w:t>Data access</w:t>
      </w:r>
    </w:p>
    <w:p>
      <w:pPr>
        <w:pStyle w:val="ListBullet"/>
        <w:spacing w:after="60"/>
        <w:ind w:left="360" w:hanging="230"/>
      </w:pPr>
      <w:r>
        <w:t>Model invocation</w:t>
      </w:r>
    </w:p>
    <w:p>
      <w:pPr>
        <w:pStyle w:val="ListBullet"/>
        <w:spacing w:after="60"/>
        <w:ind w:left="360" w:hanging="230"/>
      </w:pPr>
      <w:r>
        <w:t>Reviewer authority</w:t>
      </w:r>
    </w:p>
    <w:p>
      <w:pPr>
        <w:pStyle w:val="ListBullet"/>
        <w:spacing w:after="60"/>
        <w:ind w:left="360" w:hanging="230"/>
      </w:pPr>
      <w:r>
        <w:t>Operational support functions</w:t>
      </w:r>
    </w:p>
    <w:p>
      <w:r>
        <w:t>Authorization should be attributable and testable.</w:t>
      </w:r>
    </w:p>
    <w:p>
      <w:r>
        <w:t>This is especially important for DRE because system processing authority and human decision authority are intentionally distinct.</w:t>
      </w:r>
    </w:p>
    <w:p>
      <w:pPr>
        <w:pStyle w:val="Heading2"/>
      </w:pPr>
      <w:r>
        <w:t>5.13 Azure Monitor, Log Analytics, and Observability</w:t>
      </w:r>
    </w:p>
    <w:p>
      <w:r>
        <w:t>Production DRE architecture requires operational observability.</w:t>
      </w:r>
    </w:p>
    <w:p>
      <w:r>
        <w:t>The intended Azure monitoring layer should make it possible to understand:</w:t>
      </w:r>
    </w:p>
    <w:p>
      <w:pPr>
        <w:pStyle w:val="ListBullet"/>
        <w:spacing w:after="60"/>
        <w:ind w:left="360" w:hanging="230"/>
      </w:pPr>
      <w:r>
        <w:t>Service health</w:t>
      </w:r>
    </w:p>
    <w:p>
      <w:pPr>
        <w:pStyle w:val="ListBullet"/>
        <w:spacing w:after="60"/>
        <w:ind w:left="360" w:hanging="230"/>
      </w:pPr>
      <w:r>
        <w:t>Processing failures</w:t>
      </w:r>
    </w:p>
    <w:p>
      <w:pPr>
        <w:pStyle w:val="ListBullet"/>
        <w:spacing w:after="60"/>
        <w:ind w:left="360" w:hanging="230"/>
      </w:pPr>
      <w:r>
        <w:t>Latency</w:t>
      </w:r>
    </w:p>
    <w:p>
      <w:pPr>
        <w:pStyle w:val="ListBullet"/>
        <w:spacing w:after="60"/>
        <w:ind w:left="360" w:hanging="230"/>
      </w:pPr>
      <w:r>
        <w:t>Access activity</w:t>
      </w:r>
    </w:p>
    <w:p>
      <w:pPr>
        <w:pStyle w:val="ListBullet"/>
        <w:spacing w:after="60"/>
        <w:ind w:left="360" w:hanging="230"/>
      </w:pPr>
      <w:r>
        <w:t>Deployment changes</w:t>
      </w:r>
    </w:p>
    <w:p>
      <w:pPr>
        <w:pStyle w:val="ListBullet"/>
        <w:spacing w:after="60"/>
        <w:ind w:left="360" w:hanging="230"/>
      </w:pPr>
      <w:r>
        <w:t>Policy events</w:t>
      </w:r>
    </w:p>
    <w:p>
      <w:pPr>
        <w:pStyle w:val="ListBullet"/>
        <w:spacing w:after="60"/>
        <w:ind w:left="360" w:hanging="230"/>
      </w:pPr>
      <w:r>
        <w:t>Security events</w:t>
      </w:r>
    </w:p>
    <w:p>
      <w:pPr>
        <w:pStyle w:val="ListBullet"/>
        <w:spacing w:after="60"/>
        <w:ind w:left="360" w:hanging="230"/>
      </w:pPr>
      <w:r>
        <w:t>Failed authentication/authorization</w:t>
      </w:r>
    </w:p>
    <w:p>
      <w:pPr>
        <w:pStyle w:val="ListBullet"/>
        <w:spacing w:after="60"/>
        <w:ind w:left="360" w:hanging="230"/>
      </w:pPr>
      <w:r>
        <w:t>Transaction correlation</w:t>
      </w:r>
    </w:p>
    <w:p>
      <w:pPr>
        <w:pStyle w:val="ListBullet"/>
        <w:spacing w:after="60"/>
        <w:ind w:left="360" w:hanging="230"/>
      </w:pPr>
      <w:r>
        <w:t>Model invocation behavior</w:t>
      </w:r>
    </w:p>
    <w:p>
      <w:pPr>
        <w:pStyle w:val="ListBullet"/>
        <w:spacing w:after="60"/>
        <w:ind w:left="360" w:hanging="230"/>
      </w:pPr>
      <w:r>
        <w:t>Infrastructure degradation</w:t>
      </w:r>
    </w:p>
    <w:p>
      <w:r>
        <w:t>Azure Monitor, Log Analytics, Application Insights, diagnostic settings, alerts, and operational dashboards are identified as future architecture components.</w:t>
      </w:r>
    </w:p>
    <w:p>
      <w:r>
        <w:t>The current Bicep does not provision those monitoring resources. LegalFirewall_Azure_Deployment_Process_Guide 1.docx</w:t>
      </w:r>
    </w:p>
    <w:p>
      <w:pPr>
        <w:pStyle w:val="Heading2"/>
      </w:pPr>
      <w:r>
        <w:t>5.14 Audit Evidence</w:t>
      </w:r>
    </w:p>
    <w:p>
      <w:r>
        <w:t>Azure infrastructure must support DRE’s broader audit model.</w:t>
      </w:r>
    </w:p>
    <w:p>
      <w:r>
        <w:t>For a processed transaction, the system direction is to preserve enough information to distinguish:</w:t>
      </w:r>
    </w:p>
    <w:p>
      <w:pPr>
        <w:pStyle w:val="ListBullet"/>
        <w:spacing w:after="60"/>
        <w:ind w:left="360" w:hanging="230"/>
      </w:pPr>
      <w:r>
        <w:t>What originally entered DRE</w:t>
      </w:r>
    </w:p>
    <w:p>
      <w:pPr>
        <w:pStyle w:val="ListBullet"/>
        <w:spacing w:after="60"/>
        <w:ind w:left="360" w:hanging="230"/>
      </w:pPr>
      <w:r>
        <w:t>Which deterministic rules were evaluated</w:t>
      </w:r>
    </w:p>
    <w:p>
      <w:pPr>
        <w:pStyle w:val="ListBullet"/>
        <w:spacing w:after="60"/>
        <w:ind w:left="360" w:hanging="230"/>
      </w:pPr>
      <w:r>
        <w:t>What the deterministic engine found</w:t>
      </w:r>
    </w:p>
    <w:p>
      <w:pPr>
        <w:pStyle w:val="ListBullet"/>
        <w:spacing w:after="60"/>
        <w:ind w:left="360" w:hanging="230"/>
      </w:pPr>
      <w:r>
        <w:t>Whether semantic review was invoked</w:t>
      </w:r>
    </w:p>
    <w:p>
      <w:pPr>
        <w:pStyle w:val="ListBullet"/>
        <w:spacing w:after="60"/>
        <w:ind w:left="360" w:hanging="230"/>
      </w:pPr>
      <w:r>
        <w:t>Which agent responses were returned</w:t>
      </w:r>
    </w:p>
    <w:p>
      <w:pPr>
        <w:pStyle w:val="ListBullet"/>
        <w:spacing w:after="60"/>
        <w:ind w:left="360" w:hanging="230"/>
      </w:pPr>
      <w:r>
        <w:t>How consensus/referee logic behaved</w:t>
      </w:r>
    </w:p>
    <w:p>
      <w:pPr>
        <w:pStyle w:val="ListBullet"/>
        <w:spacing w:after="60"/>
        <w:ind w:left="360" w:hanging="230"/>
      </w:pPr>
      <w:r>
        <w:t>What recommendation or system state resulted</w:t>
      </w:r>
    </w:p>
    <w:p>
      <w:pPr>
        <w:pStyle w:val="ListBullet"/>
        <w:spacing w:after="60"/>
        <w:ind w:left="360" w:hanging="230"/>
      </w:pPr>
      <w:r>
        <w:t>What an authorized human ultimately decided</w:t>
      </w:r>
    </w:p>
    <w:p>
      <w:r>
        <w:t>This auditability is one of the reasons structured persistence, identity, logging, and deterministic routing are part of the infrastructure design rather than optional supporting features.</w:t>
      </w:r>
    </w:p>
    <w:p>
      <w:pPr>
        <w:pStyle w:val="Heading2"/>
      </w:pPr>
      <w:r>
        <w:t>5.15 Environment Separation</w:t>
      </w:r>
    </w:p>
    <w:p>
      <w:r>
        <w:t>The intended architecture requires separation between development, testing, pilot, and production-like environments.</w:t>
      </w:r>
    </w:p>
    <w:p>
      <w:r>
        <w:t>Repeatable infrastructure definitions support that separation by allowing environments to be created from a common architectural contract rather than manually reconstructed.</w:t>
      </w:r>
    </w:p>
    <w:p>
      <w:r>
        <w:t>The current documentation identifies environment separation, parameter validation, CI/CD approval, security testing, evidence retention, and documented operating responsibility as governance work still required for the intended design. LegalFirewall_Azure_Deployment_Process_Guide 1.docx</w:t>
      </w:r>
    </w:p>
    <w:p>
      <w:pPr>
        <w:pStyle w:val="Heading2"/>
      </w:pPr>
      <w:r>
        <w:t>5.16 Infrastructure Validation</w:t>
      </w:r>
    </w:p>
    <w:p>
      <w:r>
        <w:t>DRE’s Azure architecture is intended to be tested as infrastructure, not merely described in diagrams.</w:t>
      </w:r>
    </w:p>
    <w:p>
      <w:r>
        <w:t>The runtests_ts infrastructure-validation direction treats the Bicep definition as a repeatable deployment fixture that can be deployed, inspected, exercised, and eventually removed.</w:t>
      </w:r>
    </w:p>
    <w:p>
      <w:r>
        <w:t>The intended validation pattern includes:</w:t>
      </w:r>
    </w:p>
    <w:p>
      <w:pPr>
        <w:pStyle w:val="ListBullet"/>
        <w:spacing w:after="60"/>
        <w:ind w:left="360" w:hanging="230"/>
      </w:pPr>
      <w:r>
        <w:t>1. Static Bicep validation</w:t>
      </w:r>
    </w:p>
    <w:p>
      <w:pPr>
        <w:pStyle w:val="ListBullet"/>
        <w:spacing w:after="60"/>
        <w:ind w:left="360" w:hanging="230"/>
      </w:pPr>
      <w:r>
        <w:t>2. Controlled test deployment</w:t>
      </w:r>
    </w:p>
    <w:p>
      <w:pPr>
        <w:pStyle w:val="ListBullet"/>
        <w:spacing w:after="60"/>
        <w:ind w:left="360" w:hanging="230"/>
      </w:pPr>
      <w:r>
        <w:t>3. Resource/control assertions</w:t>
      </w:r>
    </w:p>
    <w:p>
      <w:pPr>
        <w:pStyle w:val="ListBullet"/>
        <w:spacing w:after="60"/>
        <w:ind w:left="360" w:hanging="230"/>
      </w:pPr>
      <w:r>
        <w:t>4. Connectivity testing</w:t>
      </w:r>
    </w:p>
    <w:p>
      <w:pPr>
        <w:pStyle w:val="ListBullet"/>
        <w:spacing w:after="60"/>
        <w:ind w:left="360" w:hanging="230"/>
      </w:pPr>
      <w:r>
        <w:t>5. Data and model integration testing</w:t>
      </w:r>
    </w:p>
    <w:p>
      <w:pPr>
        <w:pStyle w:val="ListBullet"/>
        <w:spacing w:after="60"/>
        <w:ind w:left="360" w:hanging="230"/>
      </w:pPr>
      <w:r>
        <w:t>6. Evidence capture</w:t>
      </w:r>
    </w:p>
    <w:p>
      <w:pPr>
        <w:pStyle w:val="ListBullet"/>
        <w:spacing w:after="60"/>
        <w:ind w:left="360" w:hanging="230"/>
      </w:pPr>
      <w:r>
        <w:t>7. Cleanup and repeatability validation</w:t>
      </w:r>
    </w:p>
    <w:p>
      <w:r>
        <w:t>This allows DRE to move from statements such as “the architecture is private” toward evidence that specific network paths, identities, service configurations, and controls actually behave as intended. DRE_runtests_ts_Relevance_and_Infrastructure_Validation.docx</w:t>
      </w:r>
    </w:p>
    <w:p>
      <w:pPr>
        <w:pStyle w:val="Heading2"/>
      </w:pPr>
      <w:r>
        <w:t>5.17 Current Azure Foundation</w:t>
      </w:r>
    </w:p>
    <w:p>
      <w:r>
        <w:t>The current documented infrastructure foundation establishes:</w:t>
      </w:r>
    </w:p>
    <w:p>
      <w:pPr>
        <w:pStyle w:val="ListBullet"/>
        <w:spacing w:after="60"/>
        <w:ind w:left="360" w:hanging="230"/>
      </w:pPr>
      <w:r>
        <w:t>Repeatable Bicep deployment structure</w:t>
      </w:r>
    </w:p>
    <w:p>
      <w:pPr>
        <w:pStyle w:val="ListBullet"/>
        <w:spacing w:after="60"/>
        <w:ind w:left="360" w:hanging="230"/>
      </w:pPr>
      <w:r>
        <w:t>Region parameterization</w:t>
      </w:r>
    </w:p>
    <w:p>
      <w:pPr>
        <w:pStyle w:val="ListBullet"/>
        <w:spacing w:after="60"/>
        <w:ind w:left="360" w:hanging="230"/>
      </w:pPr>
      <w:r>
        <w:t>Consistent naming</w:t>
      </w:r>
    </w:p>
    <w:p>
      <w:pPr>
        <w:pStyle w:val="ListBullet"/>
        <w:spacing w:after="60"/>
        <w:ind w:left="360" w:hanging="230"/>
      </w:pPr>
      <w:r>
        <w:t>Azure Virtual Network</w:t>
      </w:r>
    </w:p>
    <w:p>
      <w:pPr>
        <w:pStyle w:val="ListBullet"/>
        <w:spacing w:after="60"/>
        <w:ind w:left="360" w:hanging="230"/>
      </w:pPr>
      <w:r>
        <w:t>Application subnet</w:t>
      </w:r>
    </w:p>
    <w:p>
      <w:pPr>
        <w:pStyle w:val="ListBullet"/>
        <w:spacing w:after="60"/>
        <w:ind w:left="360" w:hanging="230"/>
      </w:pPr>
      <w:r>
        <w:t>Azure Key Vault</w:t>
      </w:r>
    </w:p>
    <w:p>
      <w:pPr>
        <w:pStyle w:val="ListBullet"/>
        <w:spacing w:after="60"/>
        <w:ind w:left="360" w:hanging="230"/>
      </w:pPr>
      <w:r>
        <w:t>Azure Cosmos DB account</w:t>
      </w:r>
    </w:p>
    <w:p>
      <w:pPr>
        <w:pStyle w:val="ListBullet"/>
        <w:spacing w:after="60"/>
        <w:ind w:left="360" w:hanging="230"/>
      </w:pPr>
      <w:r>
        <w:t>Azure OpenAI account</w:t>
      </w:r>
    </w:p>
    <w:p>
      <w:pPr>
        <w:pStyle w:val="ListBullet"/>
        <w:spacing w:after="60"/>
        <w:ind w:left="360" w:hanging="230"/>
      </w:pPr>
      <w:r>
        <w:t>Disabled public network access on Azure OpenAI</w:t>
      </w:r>
    </w:p>
    <w:p>
      <w:r>
        <w:t>These are current infrastructure definitions supported by the supplied Bicep. LegalFirewall_Azure_Deployment_Process_Guide_main_bicep.docx</w:t>
      </w:r>
    </w:p>
    <w:p>
      <w:pPr>
        <w:pStyle w:val="Heading2"/>
      </w:pPr>
      <w:r>
        <w:t>5.18 Intended Azure Production Architecture</w:t>
      </w:r>
    </w:p>
    <w:p>
      <w:r>
        <w:t>The intended production architecture expands that foundation to include:</w:t>
      </w:r>
    </w:p>
    <w:p>
      <w:pPr>
        <w:pStyle w:val="ListBullet"/>
        <w:spacing w:after="60"/>
        <w:ind w:left="360" w:hanging="230"/>
      </w:pPr>
      <w:r>
        <w:t>Application runtime</w:t>
      </w:r>
    </w:p>
    <w:p>
      <w:pPr>
        <w:pStyle w:val="ListBullet"/>
        <w:spacing w:after="60"/>
        <w:ind w:left="360" w:hanging="230"/>
      </w:pPr>
      <w:r>
        <w:t>Structured messaging / Azure Service Bus</w:t>
      </w:r>
    </w:p>
    <w:p>
      <w:pPr>
        <w:pStyle w:val="ListBullet"/>
        <w:spacing w:after="60"/>
        <w:ind w:left="360" w:hanging="230"/>
      </w:pPr>
      <w:r>
        <w:t>Private endpoints</w:t>
      </w:r>
    </w:p>
    <w:p>
      <w:pPr>
        <w:pStyle w:val="ListBullet"/>
        <w:spacing w:after="60"/>
        <w:ind w:left="360" w:hanging="230"/>
      </w:pPr>
      <w:r>
        <w:t>Private DNS</w:t>
      </w:r>
    </w:p>
    <w:p>
      <w:pPr>
        <w:pStyle w:val="ListBullet"/>
        <w:spacing w:after="60"/>
        <w:ind w:left="360" w:hanging="230"/>
      </w:pPr>
      <w:r>
        <w:t>Managed identities</w:t>
      </w:r>
    </w:p>
    <w:p>
      <w:pPr>
        <w:pStyle w:val="ListBullet"/>
        <w:spacing w:after="60"/>
        <w:ind w:left="360" w:hanging="230"/>
      </w:pPr>
      <w:r>
        <w:t>Least-privilege RBAC</w:t>
      </w:r>
    </w:p>
    <w:p>
      <w:pPr>
        <w:pStyle w:val="ListBullet"/>
        <w:spacing w:after="60"/>
        <w:ind w:left="360" w:hanging="230"/>
      </w:pPr>
      <w:r>
        <w:t>Cosmos DB database and containers</w:t>
      </w:r>
    </w:p>
    <w:p>
      <w:pPr>
        <w:pStyle w:val="ListBullet"/>
        <w:spacing w:after="60"/>
        <w:ind w:left="360" w:hanging="230"/>
      </w:pPr>
      <w:r>
        <w:t>Governed audit-data model</w:t>
      </w:r>
    </w:p>
    <w:p>
      <w:pPr>
        <w:pStyle w:val="ListBullet"/>
        <w:spacing w:after="60"/>
        <w:ind w:left="360" w:hanging="230"/>
      </w:pPr>
      <w:r>
        <w:t>Azure OpenAI model deployments</w:t>
      </w:r>
    </w:p>
    <w:p>
      <w:pPr>
        <w:pStyle w:val="ListBullet"/>
        <w:spacing w:after="60"/>
        <w:ind w:left="360" w:hanging="230"/>
      </w:pPr>
      <w:r>
        <w:t>Model/service configuration</w:t>
      </w:r>
    </w:p>
    <w:p>
      <w:pPr>
        <w:pStyle w:val="ListBullet"/>
        <w:spacing w:after="60"/>
        <w:ind w:left="360" w:hanging="230"/>
      </w:pPr>
      <w:r>
        <w:t>Monitoring and diagnostics</w:t>
      </w:r>
    </w:p>
    <w:p>
      <w:pPr>
        <w:pStyle w:val="ListBullet"/>
        <w:spacing w:after="60"/>
        <w:ind w:left="360" w:hanging="230"/>
      </w:pPr>
      <w:r>
        <w:t>Log Analytics / Application Insights</w:t>
      </w:r>
    </w:p>
    <w:p>
      <w:pPr>
        <w:pStyle w:val="ListBullet"/>
        <w:spacing w:after="60"/>
        <w:ind w:left="360" w:hanging="230"/>
      </w:pPr>
      <w:r>
        <w:t>Alerts and operational dashboards</w:t>
      </w:r>
    </w:p>
    <w:p>
      <w:pPr>
        <w:pStyle w:val="ListBullet"/>
        <w:spacing w:after="60"/>
        <w:ind w:left="360" w:hanging="230"/>
      </w:pPr>
      <w:r>
        <w:t>Environment separation</w:t>
      </w:r>
    </w:p>
    <w:p>
      <w:pPr>
        <w:pStyle w:val="ListBullet"/>
        <w:spacing w:after="60"/>
        <w:ind w:left="360" w:hanging="230"/>
      </w:pPr>
      <w:r>
        <w:t>Retention controls</w:t>
      </w:r>
    </w:p>
    <w:p>
      <w:pPr>
        <w:pStyle w:val="ListBullet"/>
        <w:spacing w:after="60"/>
        <w:ind w:left="360" w:hanging="230"/>
      </w:pPr>
      <w:r>
        <w:t>Recovery design</w:t>
      </w:r>
    </w:p>
    <w:p>
      <w:pPr>
        <w:pStyle w:val="ListBullet"/>
        <w:spacing w:after="60"/>
        <w:ind w:left="360" w:hanging="230"/>
      </w:pPr>
      <w:r>
        <w:t>Policy and governance controls</w:t>
      </w:r>
    </w:p>
    <w:p>
      <w:pPr>
        <w:pStyle w:val="ListBullet"/>
        <w:spacing w:after="60"/>
        <w:ind w:left="360" w:hanging="230"/>
      </w:pPr>
      <w:r>
        <w:t>Repeatable deployment validation</w:t>
      </w:r>
    </w:p>
    <w:p>
      <w:pPr>
        <w:pStyle w:val="ListBullet"/>
        <w:spacing w:after="60"/>
        <w:ind w:left="360" w:hanging="230"/>
      </w:pPr>
      <w:r>
        <w:t>Security and access testing</w:t>
      </w:r>
    </w:p>
    <w:p>
      <w:r>
        <w:t>These are architectural requirements and planned implementation areas, not claims that the current Bicep already provides them. LegalFirewall_Azure_Deployment_Process_Guide 1.docx</w:t>
      </w:r>
    </w:p>
    <w:tbl>
      <w:tblPr>
        <w:tblStyle w:val="TableGrid"/>
        <w:tblW w:type="auto" w:w="0"/>
        <w:jc w:val="center"/>
        <w:tblLayout w:type="fixed"/>
        <w:tblLook w:firstColumn="1" w:firstRow="1" w:lastColumn="0" w:lastRow="0" w:noHBand="0" w:noVBand="1" w:val="04A0"/>
      </w:tblPr>
      <w:tblGrid>
        <w:gridCol w:w="4939"/>
        <w:gridCol w:w="4939"/>
      </w:tblGrid>
      <w:tr>
        <w:tc>
          <w:tcPr>
            <w:tcW w:type="dxa" w:w="4939"/>
            <w:vAlign w:val="center"/>
            <w:tcMar>
              <w:top w:w="100" w:type="dxa"/>
              <w:start w:w="100" w:type="dxa"/>
              <w:bottom w:w="100" w:type="dxa"/>
              <w:end w:w="100" w:type="dxa"/>
            </w:tcMar>
            <w:shd w:fill="16324F"/>
          </w:tcPr>
          <w:p>
            <w:pPr>
              <w:spacing w:after="0"/>
              <w:jc w:val="left"/>
            </w:pPr>
            <w:r/>
            <w:r>
              <w:rPr>
                <w:rFonts w:ascii="Aptos" w:hAnsi="Aptos"/>
                <w:b/>
                <w:color w:val="FFFFFF"/>
                <w:sz w:val="16"/>
              </w:rPr>
              <w:t>CURRENT AZURE FOUNDATION</w:t>
            </w:r>
          </w:p>
        </w:tc>
        <w:tc>
          <w:tcPr>
            <w:tcW w:type="dxa" w:w="4939"/>
            <w:vAlign w:val="center"/>
            <w:tcMar>
              <w:top w:w="100" w:type="dxa"/>
              <w:start w:w="100" w:type="dxa"/>
              <w:bottom w:w="100" w:type="dxa"/>
              <w:end w:w="100" w:type="dxa"/>
            </w:tcMar>
            <w:shd w:fill="16324F"/>
          </w:tcPr>
          <w:p>
            <w:pPr>
              <w:spacing w:after="0"/>
              <w:jc w:val="left"/>
            </w:pPr>
            <w:r/>
            <w:r>
              <w:rPr>
                <w:rFonts w:ascii="Aptos" w:hAnsi="Aptos"/>
                <w:b/>
                <w:color w:val="FFFFFF"/>
                <w:sz w:val="16"/>
              </w:rPr>
              <w:t>INTENDED PRODUCTION ARCHITECTURE</w:t>
            </w:r>
          </w:p>
        </w:tc>
      </w:tr>
      <w:tr>
        <w:tc>
          <w:tcPr>
            <w:tcW w:type="dxa" w:w="4939"/>
            <w:vAlign w:val="center"/>
            <w:tcMar>
              <w:top w:w="100" w:type="dxa"/>
              <w:start w:w="100" w:type="dxa"/>
              <w:bottom w:w="100" w:type="dxa"/>
              <w:end w:w="100" w:type="dxa"/>
            </w:tcMar>
            <w:shd w:fill="FFFFFF"/>
          </w:tcPr>
          <w:p>
            <w:pPr>
              <w:spacing w:after="0"/>
              <w:jc w:val="left"/>
            </w:pPr>
            <w:r/>
            <w:r>
              <w:rPr>
                <w:rFonts w:ascii="Aptos" w:hAnsi="Aptos"/>
                <w:b w:val="0"/>
                <w:color w:val="24313C"/>
                <w:sz w:val="16"/>
              </w:rPr>
              <w:t>VNet, subnet, Key Vault, Cosmos DB account, Azure OpenAI account; Azure OpenAI public access disabled</w:t>
            </w:r>
          </w:p>
        </w:tc>
        <w:tc>
          <w:tcPr>
            <w:tcW w:type="dxa" w:w="4939"/>
            <w:vAlign w:val="center"/>
            <w:tcMar>
              <w:top w:w="100" w:type="dxa"/>
              <w:start w:w="100" w:type="dxa"/>
              <w:bottom w:w="100" w:type="dxa"/>
              <w:end w:w="100" w:type="dxa"/>
            </w:tcMar>
            <w:shd w:fill="FFFFFF"/>
          </w:tcPr>
          <w:p>
            <w:pPr>
              <w:spacing w:after="0"/>
              <w:jc w:val="left"/>
            </w:pPr>
            <w:r/>
            <w:r>
              <w:rPr>
                <w:rFonts w:ascii="Aptos" w:hAnsi="Aptos"/>
                <w:b w:val="0"/>
                <w:color w:val="24313C"/>
                <w:sz w:val="16"/>
              </w:rPr>
              <w:t>Application hosting, messaging, private connectivity, identity/RBAC, data model, model deployments, monitoring, governance, recovery, and validation</w:t>
            </w:r>
          </w:p>
        </w:tc>
      </w:tr>
    </w:tbl>
    <w:p/>
    <w:p>
      <w:pPr>
        <w:pStyle w:val="Heading2"/>
      </w:pPr>
      <w:r>
        <w:t>5.19 Azure Build-Out Sequence</w:t>
      </w:r>
    </w:p>
    <w:p>
      <w:r>
        <w:t>The existing deployment documentation establishes a six-stage build-out sequence:</w:t>
      </w:r>
    </w:p>
    <w:tbl>
      <w:tblPr>
        <w:tblW w:type="auto" w:w="0"/>
        <w:jc w:val="center"/>
        <w:tblLayout w:type="fixed"/>
        <w:tblLook w:firstColumn="1" w:firstRow="1" w:lastColumn="0" w:lastRow="0" w:noHBand="0" w:noVBand="1" w:val="04A0"/>
      </w:tblPr>
      <w:tblGrid>
        <w:gridCol w:w="173"/>
        <w:gridCol w:w="9475"/>
      </w:tblGrid>
      <w:tr>
        <w:tc>
          <w:tcPr>
            <w:tcW w:type="dxa" w:w="4939"/>
            <w:shd w:fill="2E7D7A"/>
          </w:tcPr>
          <w:p>
            <w:r/>
          </w:p>
        </w:tc>
        <w:tc>
          <w:tcPr>
            <w:tcW w:type="dxa" w:w="4939"/>
            <w:shd w:fill="EAF1F5"/>
            <w:tcMar>
              <w:top w:w="160" w:type="dxa"/>
              <w:start w:w="160" w:type="dxa"/>
              <w:bottom w:w="160" w:type="dxa"/>
              <w:end w:w="160" w:type="dxa"/>
            </w:tcMar>
          </w:tcPr>
          <w:p>
            <w:pPr>
              <w:pStyle w:val="Callout"/>
            </w:pPr>
            <w:r>
              <w:rPr>
                <w:color w:val="2E7D7A"/>
                <w:sz w:val="16"/>
              </w:rPr>
              <w:t>SIX-STAGE BUILD-OUT</w:t>
              <w:br/>
            </w:r>
            <w:r>
              <w:t>Foundation → Private Access → Identity → Data and Models → Observability → Assurance</w:t>
            </w:r>
          </w:p>
        </w:tc>
      </w:tr>
    </w:tbl>
    <w:p/>
    <w:p>
      <w:r>
        <w:t>Foundation establishes naming, network planning, resource metadata, locks, and policy baseline.</w:t>
      </w:r>
    </w:p>
    <w:p>
      <w:r>
        <w:t>Private Access adds private endpoints and DNS and restricts unintended public access.</w:t>
      </w:r>
    </w:p>
    <w:p>
      <w:r>
        <w:t>Identity adds managed identities and least-privilege RBAC.</w:t>
      </w:r>
    </w:p>
    <w:p>
      <w:r>
        <w:t>Data and Models establishes Cosmos DB databases/containers and approved Azure OpenAI model deployments.</w:t>
      </w:r>
    </w:p>
    <w:p>
      <w:r>
        <w:t>Observability adds diagnostic settings, logs, alerts, audit events, and dashboards.</w:t>
      </w:r>
    </w:p>
    <w:p>
      <w:r>
        <w:t>Assurance validates the environment through threat modeling, access review, deployment tests, recovery testing, retention validation, and documentation. LegalFirewall_Azure_Deployment_Process_Guide 1.docx</w:t>
      </w:r>
    </w:p>
    <w:tbl>
      <w:tblPr>
        <w:tblW w:type="auto" w:w="0"/>
        <w:jc w:val="center"/>
        <w:tblLayout w:type="fixed"/>
        <w:tblLook w:firstColumn="1" w:firstRow="1" w:lastColumn="0" w:lastRow="0" w:noHBand="0" w:noVBand="1" w:val="04A0"/>
      </w:tblPr>
      <w:tblGrid>
        <w:gridCol w:w="898"/>
        <w:gridCol w:w="898"/>
        <w:gridCol w:w="898"/>
        <w:gridCol w:w="898"/>
        <w:gridCol w:w="898"/>
        <w:gridCol w:w="898"/>
        <w:gridCol w:w="898"/>
        <w:gridCol w:w="898"/>
        <w:gridCol w:w="898"/>
        <w:gridCol w:w="898"/>
        <w:gridCol w:w="898"/>
      </w:tblGrid>
      <w:tr>
        <w:tc>
          <w:tcPr>
            <w:tcW w:type="dxa" w:w="898"/>
            <w:vAlign w:val="center"/>
            <w:tcMar>
              <w:top w:w="100" w:type="dxa"/>
              <w:start w:w="100" w:type="dxa"/>
              <w:bottom w:w="100" w:type="dxa"/>
              <w:end w:w="100" w:type="dxa"/>
            </w:tcMar>
            <w:shd w:fill="16324F"/>
          </w:tcPr>
          <w:p>
            <w:pPr>
              <w:spacing w:after="0"/>
              <w:jc w:val="center"/>
            </w:pPr>
            <w:r/>
            <w:r>
              <w:rPr>
                <w:rFonts w:ascii="Aptos" w:hAnsi="Aptos"/>
                <w:b/>
                <w:color w:val="FFFFFF"/>
                <w:sz w:val="14"/>
              </w:rPr>
              <w:t>Foundation</w:t>
            </w:r>
          </w:p>
        </w:tc>
        <w:tc>
          <w:tcPr>
            <w:tcW w:type="dxa" w:w="898"/>
            <w:vAlign w:val="center"/>
            <w:tcMar>
              <w:top w:w="100" w:type="dxa"/>
              <w:start w:w="100" w:type="dxa"/>
              <w:bottom w:w="100" w:type="dxa"/>
              <w:end w:w="100" w:type="dxa"/>
            </w:tcMar>
          </w:tcPr>
          <w:p>
            <w:pPr>
              <w:spacing w:after="0"/>
              <w:jc w:val="center"/>
            </w:pPr>
            <w:r/>
            <w:r>
              <w:rPr>
                <w:rFonts w:ascii="Aptos" w:hAnsi="Aptos"/>
                <w:b/>
                <w:color w:val="2E7D7A"/>
                <w:sz w:val="24"/>
              </w:rPr>
              <w:t>→</w:t>
            </w:r>
          </w:p>
        </w:tc>
        <w:tc>
          <w:tcPr>
            <w:tcW w:type="dxa" w:w="898"/>
            <w:vAlign w:val="center"/>
            <w:tcMar>
              <w:top w:w="100" w:type="dxa"/>
              <w:start w:w="100" w:type="dxa"/>
              <w:bottom w:w="100" w:type="dxa"/>
              <w:end w:w="100" w:type="dxa"/>
            </w:tcMar>
            <w:shd w:fill="2E7D7A"/>
          </w:tcPr>
          <w:p>
            <w:pPr>
              <w:spacing w:after="0"/>
              <w:jc w:val="center"/>
            </w:pPr>
            <w:r/>
            <w:r>
              <w:rPr>
                <w:rFonts w:ascii="Aptos" w:hAnsi="Aptos"/>
                <w:b/>
                <w:color w:val="FFFFFF"/>
                <w:sz w:val="14"/>
              </w:rPr>
              <w:t>Private Access</w:t>
            </w:r>
          </w:p>
        </w:tc>
        <w:tc>
          <w:tcPr>
            <w:tcW w:type="dxa" w:w="898"/>
            <w:vAlign w:val="center"/>
            <w:tcMar>
              <w:top w:w="100" w:type="dxa"/>
              <w:start w:w="100" w:type="dxa"/>
              <w:bottom w:w="100" w:type="dxa"/>
              <w:end w:w="100" w:type="dxa"/>
            </w:tcMar>
          </w:tcPr>
          <w:p>
            <w:pPr>
              <w:spacing w:after="0"/>
              <w:jc w:val="center"/>
            </w:pPr>
            <w:r/>
            <w:r>
              <w:rPr>
                <w:rFonts w:ascii="Aptos" w:hAnsi="Aptos"/>
                <w:b/>
                <w:color w:val="2E7D7A"/>
                <w:sz w:val="24"/>
              </w:rPr>
              <w:t>→</w:t>
            </w:r>
          </w:p>
        </w:tc>
        <w:tc>
          <w:tcPr>
            <w:tcW w:type="dxa" w:w="898"/>
            <w:vAlign w:val="center"/>
            <w:tcMar>
              <w:top w:w="100" w:type="dxa"/>
              <w:start w:w="100" w:type="dxa"/>
              <w:bottom w:w="100" w:type="dxa"/>
              <w:end w:w="100" w:type="dxa"/>
            </w:tcMar>
            <w:shd w:fill="1F5F8B"/>
          </w:tcPr>
          <w:p>
            <w:pPr>
              <w:spacing w:after="0"/>
              <w:jc w:val="center"/>
            </w:pPr>
            <w:r/>
            <w:r>
              <w:rPr>
                <w:rFonts w:ascii="Aptos" w:hAnsi="Aptos"/>
                <w:b/>
                <w:color w:val="FFFFFF"/>
                <w:sz w:val="14"/>
              </w:rPr>
              <w:t>Identity</w:t>
            </w:r>
          </w:p>
        </w:tc>
        <w:tc>
          <w:tcPr>
            <w:tcW w:type="dxa" w:w="898"/>
            <w:vAlign w:val="center"/>
            <w:tcMar>
              <w:top w:w="100" w:type="dxa"/>
              <w:start w:w="100" w:type="dxa"/>
              <w:bottom w:w="100" w:type="dxa"/>
              <w:end w:w="100" w:type="dxa"/>
            </w:tcMar>
          </w:tcPr>
          <w:p>
            <w:pPr>
              <w:spacing w:after="0"/>
              <w:jc w:val="center"/>
            </w:pPr>
            <w:r/>
            <w:r>
              <w:rPr>
                <w:rFonts w:ascii="Aptos" w:hAnsi="Aptos"/>
                <w:b/>
                <w:color w:val="2E7D7A"/>
                <w:sz w:val="24"/>
              </w:rPr>
              <w:t>→</w:t>
            </w:r>
          </w:p>
        </w:tc>
        <w:tc>
          <w:tcPr>
            <w:tcW w:type="dxa" w:w="898"/>
            <w:vAlign w:val="center"/>
            <w:tcMar>
              <w:top w:w="100" w:type="dxa"/>
              <w:start w:w="100" w:type="dxa"/>
              <w:bottom w:w="100" w:type="dxa"/>
              <w:end w:w="100" w:type="dxa"/>
            </w:tcMar>
            <w:shd w:fill="1F5F8B"/>
          </w:tcPr>
          <w:p>
            <w:pPr>
              <w:spacing w:after="0"/>
              <w:jc w:val="center"/>
            </w:pPr>
            <w:r/>
            <w:r>
              <w:rPr>
                <w:rFonts w:ascii="Aptos" w:hAnsi="Aptos"/>
                <w:b/>
                <w:color w:val="FFFFFF"/>
                <w:sz w:val="14"/>
              </w:rPr>
              <w:t>Data and Models</w:t>
            </w:r>
          </w:p>
        </w:tc>
        <w:tc>
          <w:tcPr>
            <w:tcW w:type="dxa" w:w="898"/>
            <w:vAlign w:val="center"/>
            <w:tcMar>
              <w:top w:w="100" w:type="dxa"/>
              <w:start w:w="100" w:type="dxa"/>
              <w:bottom w:w="100" w:type="dxa"/>
              <w:end w:w="100" w:type="dxa"/>
            </w:tcMar>
          </w:tcPr>
          <w:p>
            <w:pPr>
              <w:spacing w:after="0"/>
              <w:jc w:val="center"/>
            </w:pPr>
            <w:r/>
            <w:r>
              <w:rPr>
                <w:rFonts w:ascii="Aptos" w:hAnsi="Aptos"/>
                <w:b/>
                <w:color w:val="2E7D7A"/>
                <w:sz w:val="24"/>
              </w:rPr>
              <w:t>→</w:t>
            </w:r>
          </w:p>
        </w:tc>
        <w:tc>
          <w:tcPr>
            <w:tcW w:type="dxa" w:w="898"/>
            <w:vAlign w:val="center"/>
            <w:tcMar>
              <w:top w:w="100" w:type="dxa"/>
              <w:start w:w="100" w:type="dxa"/>
              <w:bottom w:w="100" w:type="dxa"/>
              <w:end w:w="100" w:type="dxa"/>
            </w:tcMar>
            <w:shd w:fill="C89B3C"/>
          </w:tcPr>
          <w:p>
            <w:pPr>
              <w:spacing w:after="0"/>
              <w:jc w:val="center"/>
            </w:pPr>
            <w:r/>
            <w:r>
              <w:rPr>
                <w:rFonts w:ascii="Aptos" w:hAnsi="Aptos"/>
                <w:b/>
                <w:color w:val="FFFFFF"/>
                <w:sz w:val="14"/>
              </w:rPr>
              <w:t>Observability</w:t>
            </w:r>
          </w:p>
        </w:tc>
        <w:tc>
          <w:tcPr>
            <w:tcW w:type="dxa" w:w="898"/>
            <w:vAlign w:val="center"/>
            <w:tcMar>
              <w:top w:w="100" w:type="dxa"/>
              <w:start w:w="100" w:type="dxa"/>
              <w:bottom w:w="100" w:type="dxa"/>
              <w:end w:w="100" w:type="dxa"/>
            </w:tcMar>
          </w:tcPr>
          <w:p>
            <w:pPr>
              <w:spacing w:after="0"/>
              <w:jc w:val="center"/>
            </w:pPr>
            <w:r/>
            <w:r>
              <w:rPr>
                <w:rFonts w:ascii="Aptos" w:hAnsi="Aptos"/>
                <w:b/>
                <w:color w:val="2E7D7A"/>
                <w:sz w:val="24"/>
              </w:rPr>
              <w:t>→</w:t>
            </w:r>
          </w:p>
        </w:tc>
        <w:tc>
          <w:tcPr>
            <w:tcW w:type="dxa" w:w="898"/>
            <w:vAlign w:val="center"/>
            <w:tcMar>
              <w:top w:w="100" w:type="dxa"/>
              <w:start w:w="100" w:type="dxa"/>
              <w:bottom w:w="100" w:type="dxa"/>
              <w:end w:w="100" w:type="dxa"/>
            </w:tcMar>
            <w:shd w:fill="A33A32"/>
          </w:tcPr>
          <w:p>
            <w:pPr>
              <w:spacing w:after="0"/>
              <w:jc w:val="center"/>
            </w:pPr>
            <w:r/>
            <w:r>
              <w:rPr>
                <w:rFonts w:ascii="Aptos" w:hAnsi="Aptos"/>
                <w:b/>
                <w:color w:val="FFFFFF"/>
                <w:sz w:val="14"/>
              </w:rPr>
              <w:t>Assurance</w:t>
            </w:r>
          </w:p>
        </w:tc>
      </w:tr>
    </w:tbl>
    <w:p>
      <w:pPr>
        <w:pStyle w:val="Caption"/>
        <w:jc w:val="center"/>
      </w:pPr>
      <w:r>
        <w:t>Figure 8. Azure build-out sequence</w:t>
      </w:r>
    </w:p>
    <w:p>
      <w:pPr>
        <w:pStyle w:val="Heading2"/>
      </w:pPr>
      <w:r>
        <w:t>5.20 Architectural Principle</w:t>
      </w:r>
    </w:p>
    <w:p>
      <w:r>
        <w:t>The significance of the Azure architecture does not come from any single Azure service.</w:t>
      </w:r>
    </w:p>
    <w:tbl>
      <w:tblPr>
        <w:tblW w:type="auto" w:w="0"/>
        <w:jc w:val="center"/>
        <w:tblLayout w:type="fixed"/>
        <w:tblLook w:firstColumn="1" w:firstRow="1" w:lastColumn="0" w:lastRow="0" w:noHBand="0" w:noVBand="1" w:val="04A0"/>
      </w:tblPr>
      <w:tblGrid>
        <w:gridCol w:w="173"/>
        <w:gridCol w:w="9475"/>
      </w:tblGrid>
      <w:tr>
        <w:tc>
          <w:tcPr>
            <w:tcW w:type="dxa" w:w="4939"/>
            <w:shd w:fill="2E7D7A"/>
          </w:tcPr>
          <w:p>
            <w:r/>
          </w:p>
        </w:tc>
        <w:tc>
          <w:tcPr>
            <w:tcW w:type="dxa" w:w="4939"/>
            <w:shd w:fill="EAF1F5"/>
            <w:tcMar>
              <w:top w:w="160" w:type="dxa"/>
              <w:start w:w="160" w:type="dxa"/>
              <w:bottom w:w="160" w:type="dxa"/>
              <w:end w:w="160" w:type="dxa"/>
            </w:tcMar>
          </w:tcPr>
          <w:p>
            <w:pPr>
              <w:pStyle w:val="Callout"/>
            </w:pPr>
            <w:r>
              <w:rPr>
                <w:color w:val="2E7D7A"/>
                <w:sz w:val="16"/>
              </w:rPr>
              <w:t>ARCHITECTURAL PRINCIPLE</w:t>
              <w:br/>
            </w:r>
            <w:r>
              <w:t>customer-controlled environment + deterministic application processing + controlled model access + network isolation + attributable identity + protected secrets + structured evidence storage + observability + human authority.</w:t>
            </w:r>
          </w:p>
        </w:tc>
      </w:tr>
    </w:tbl>
    <w:p/>
    <w:p>
      <w:r>
        <w:t>That combined boundary is the intended enterprise environment for DRE.</w:t>
      </w:r>
    </w:p>
    <w:p>
      <w:r>
        <w:t>The current Bicep establishes the beginning of that boundary. The rest of the Azure architecture is the controlled progression from defined infrastructure foundation to tested customer-deployable system.</w:t>
      </w:r>
    </w:p>
    <w:p>
      <w:r>
        <w:br w:type="page"/>
      </w:r>
    </w:p>
    <w:p>
      <w:pPr>
        <w:pStyle w:val="Heading1"/>
      </w:pPr>
      <w:r>
        <w:t>6. Security, Privacy &amp; Governance</w:t>
      </w:r>
    </w:p>
    <w:p>
      <w:r>
        <w:t>DRE’s security, privacy, and governance model is built around a simple principle: the legal-billing transaction remains governed throughout its entire processing path.</w:t>
      </w:r>
    </w:p>
    <w:p>
      <w:r>
        <w:t>Security is therefore not a separate perimeter added after the product works. It is part of the architecture that determines where transactions can travel, which identities can act on them, how secrets are protected, what evidence is retained, how automated recommendations remain distinguishable from human decisions, and how the system behaves when a component fails.</w:t>
      </w:r>
    </w:p>
    <w:p>
      <w:r>
        <w:t>The intended deployment model places DRE inside the customer’s Azure environment and Microsoft ecosystem. The customer therefore retains the surrounding enterprise environment in which DRE operates, while the DRE architecture must provide explicit controls for network access, identity, authorization, secrets, evidence, AI access, auditability, retention, recovery, and human authority.</w:t>
      </w:r>
    </w:p>
    <w:p>
      <w:r>
        <w:t>The current Azure foundation establishes only part of that security model. The existing Bicep creates a network foundation, Key Vault, Cosmos DB account, and Azure OpenAI account with public network access disabled. The complete private, least-privilege, auditable architecture still requires additional controls and validation. LegalFirewall_Azure_Deployment_Process_Guide 1.docx</w:t>
      </w:r>
    </w:p>
    <w:p>
      <w:pPr>
        <w:pStyle w:val="Heading2"/>
      </w:pPr>
      <w:r>
        <w:t>6.1 Security Model</w:t>
      </w:r>
    </w:p>
    <w:p>
      <w:r>
        <w:t>DRE is intended to use layered controls rather than a single security mechanism.</w:t>
      </w:r>
    </w:p>
    <w:p>
      <w:pPr>
        <w:pStyle w:val="ListBullet"/>
        <w:spacing w:after="60"/>
        <w:ind w:left="360" w:hanging="230"/>
      </w:pPr>
      <w:r>
        <w:t>Customer-controlled Azure deployment</w:t>
      </w:r>
    </w:p>
    <w:p>
      <w:pPr>
        <w:pStyle w:val="ListBullet"/>
        <w:spacing w:after="60"/>
        <w:ind w:left="360" w:hanging="230"/>
      </w:pPr>
      <w:r>
        <w:t>Network isolation</w:t>
      </w:r>
    </w:p>
    <w:p>
      <w:pPr>
        <w:pStyle w:val="ListBullet"/>
        <w:spacing w:after="60"/>
        <w:ind w:left="360" w:hanging="230"/>
      </w:pPr>
      <w:r>
        <w:t>Private service connectivity</w:t>
      </w:r>
    </w:p>
    <w:p>
      <w:pPr>
        <w:pStyle w:val="ListBullet"/>
        <w:spacing w:after="60"/>
        <w:ind w:left="360" w:hanging="230"/>
      </w:pPr>
      <w:r>
        <w:t>Identity-based access</w:t>
      </w:r>
    </w:p>
    <w:p>
      <w:pPr>
        <w:pStyle w:val="ListBullet"/>
        <w:spacing w:after="60"/>
        <w:ind w:left="360" w:hanging="230"/>
      </w:pPr>
      <w:r>
        <w:t>Least-privilege authorization</w:t>
      </w:r>
    </w:p>
    <w:p>
      <w:pPr>
        <w:pStyle w:val="ListBullet"/>
        <w:spacing w:after="60"/>
        <w:ind w:left="360" w:hanging="230"/>
      </w:pPr>
      <w:r>
        <w:t>Protected secrets and keys</w:t>
      </w:r>
    </w:p>
    <w:p>
      <w:pPr>
        <w:pStyle w:val="ListBullet"/>
        <w:spacing w:after="60"/>
        <w:ind w:left="360" w:hanging="230"/>
      </w:pPr>
      <w:r>
        <w:t>Controlled application execution</w:t>
      </w:r>
    </w:p>
    <w:p>
      <w:pPr>
        <w:pStyle w:val="ListBullet"/>
        <w:spacing w:after="60"/>
        <w:ind w:left="360" w:hanging="230"/>
      </w:pPr>
      <w:r>
        <w:t>Restricted AI access</w:t>
      </w:r>
    </w:p>
    <w:p>
      <w:pPr>
        <w:pStyle w:val="ListBullet"/>
        <w:spacing w:after="60"/>
        <w:ind w:left="360" w:hanging="230"/>
      </w:pPr>
      <w:r>
        <w:t>Structured audit storage</w:t>
      </w:r>
    </w:p>
    <w:p>
      <w:pPr>
        <w:pStyle w:val="ListBullet"/>
        <w:spacing w:after="60"/>
        <w:ind w:left="360" w:hanging="230"/>
      </w:pPr>
      <w:r>
        <w:t>Transaction-level evidence</w:t>
      </w:r>
    </w:p>
    <w:p>
      <w:pPr>
        <w:pStyle w:val="ListBullet"/>
        <w:spacing w:after="60"/>
        <w:ind w:left="360" w:hanging="230"/>
      </w:pPr>
      <w:r>
        <w:t>Observability</w:t>
      </w:r>
    </w:p>
    <w:p>
      <w:pPr>
        <w:pStyle w:val="ListBullet"/>
        <w:spacing w:after="60"/>
        <w:ind w:left="360" w:hanging="230"/>
      </w:pPr>
      <w:r>
        <w:t>Human decision authority</w:t>
      </w:r>
    </w:p>
    <w:p>
      <w:pPr>
        <w:pStyle w:val="ListBullet"/>
        <w:spacing w:after="60"/>
        <w:ind w:left="360" w:hanging="230"/>
      </w:pPr>
      <w:r>
        <w:t>Repeatable infrastructure validation</w:t>
      </w:r>
    </w:p>
    <w:p>
      <w:r>
        <w:t>No one control establishes the entire security posture.</w:t>
      </w:r>
    </w:p>
    <w:p>
      <w:r>
        <w:t>A private network does not determine who is authorized to act.</w:t>
      </w:r>
    </w:p>
    <w:p>
      <w:r>
        <w:t>Authentication does not determine whether an action is appropriate.</w:t>
      </w:r>
    </w:p>
    <w:p>
      <w:r>
        <w:t>A successful AI response does not establish an authorized billing disposition.</w:t>
      </w:r>
    </w:p>
    <w:p>
      <w:r>
        <w:t>A stored audit record does not prove that the surrounding infrastructure was configured correctly.</w:t>
      </w:r>
    </w:p>
    <w:p>
      <w:r>
        <w:t>The architecture therefore treats these as separate, testable control layers.</w:t>
      </w:r>
    </w:p>
    <w:p>
      <w:pPr>
        <w:pStyle w:val="Heading2"/>
      </w:pPr>
      <w:r>
        <w:t>6.2 Network Isolation</w:t>
      </w:r>
    </w:p>
    <w:p>
      <w:r>
        <w:t>The current Azure infrastructure defines a Virtual Network using the 10.0.0.0/16 address space with AppSubnet at 10.0.1.0/24.</w:t>
      </w:r>
    </w:p>
    <w:p>
      <w:pPr>
        <w:pStyle w:val="ListBullet"/>
        <w:spacing w:after="60"/>
        <w:ind w:left="360" w:hanging="230"/>
      </w:pPr>
      <w:r>
        <w:t>Private endpoints</w:t>
      </w:r>
    </w:p>
    <w:p>
      <w:pPr>
        <w:pStyle w:val="ListBullet"/>
        <w:spacing w:after="60"/>
        <w:ind w:left="360" w:hanging="230"/>
      </w:pPr>
      <w:r>
        <w:t>Private DNS zones</w:t>
      </w:r>
    </w:p>
    <w:p>
      <w:pPr>
        <w:pStyle w:val="ListBullet"/>
        <w:spacing w:after="60"/>
        <w:ind w:left="360" w:hanging="230"/>
      </w:pPr>
      <w:r>
        <w:t>DNS links</w:t>
      </w:r>
    </w:p>
    <w:p>
      <w:pPr>
        <w:pStyle w:val="ListBullet"/>
        <w:spacing w:after="60"/>
        <w:ind w:left="360" w:hanging="230"/>
      </w:pPr>
      <w:r>
        <w:t>Subnet policies</w:t>
      </w:r>
    </w:p>
    <w:p>
      <w:pPr>
        <w:pStyle w:val="ListBullet"/>
        <w:spacing w:after="60"/>
        <w:ind w:left="360" w:hanging="230"/>
      </w:pPr>
      <w:r>
        <w:t>Routing</w:t>
      </w:r>
    </w:p>
    <w:p>
      <w:pPr>
        <w:pStyle w:val="ListBullet"/>
        <w:spacing w:after="60"/>
        <w:ind w:left="360" w:hanging="230"/>
      </w:pPr>
      <w:r>
        <w:t>Network security design</w:t>
      </w:r>
    </w:p>
    <w:p>
      <w:pPr>
        <w:pStyle w:val="ListBullet"/>
        <w:spacing w:after="60"/>
        <w:ind w:left="360" w:hanging="230"/>
      </w:pPr>
      <w:r>
        <w:t>Workload integration</w:t>
      </w:r>
    </w:p>
    <w:p>
      <w:pPr>
        <w:pStyle w:val="ListBullet"/>
        <w:spacing w:after="60"/>
        <w:ind w:left="360" w:hanging="230"/>
      </w:pPr>
      <w:r>
        <w:t>Private connectivity validation</w:t>
      </w:r>
    </w:p>
    <w:p>
      <w:pPr>
        <w:pStyle w:val="Heading2"/>
      </w:pPr>
      <w:r>
        <w:t>6.3 Restricted Azure OpenAI Access</w:t>
      </w:r>
    </w:p>
    <w:p>
      <w:r>
        <w:t>The current Bicep provisions Azure OpenAI with:</w:t>
      </w:r>
    </w:p>
    <w:p>
      <w:r>
        <w:t>publicNetworkAccess: 'Disabled'</w:t>
      </w:r>
    </w:p>
    <w:p>
      <w:pPr>
        <w:pStyle w:val="ListBullet"/>
        <w:spacing w:after="60"/>
        <w:ind w:left="360" w:hanging="230"/>
      </w:pPr>
      <w:r>
        <w:t>Private endpoint</w:t>
      </w:r>
    </w:p>
    <w:p>
      <w:pPr>
        <w:pStyle w:val="ListBullet"/>
        <w:spacing w:after="60"/>
        <w:ind w:left="360" w:hanging="230"/>
      </w:pPr>
      <w:r>
        <w:t>Private DNS</w:t>
      </w:r>
    </w:p>
    <w:p>
      <w:pPr>
        <w:pStyle w:val="ListBullet"/>
        <w:spacing w:after="60"/>
        <w:ind w:left="360" w:hanging="230"/>
      </w:pPr>
      <w:r>
        <w:t>Application connectivity</w:t>
      </w:r>
    </w:p>
    <w:p>
      <w:pPr>
        <w:pStyle w:val="ListBullet"/>
        <w:spacing w:after="60"/>
        <w:ind w:left="360" w:hanging="230"/>
      </w:pPr>
      <w:r>
        <w:t>Authorized service identity</w:t>
      </w:r>
    </w:p>
    <w:p>
      <w:pPr>
        <w:pStyle w:val="ListBullet"/>
        <w:spacing w:after="60"/>
        <w:ind w:left="360" w:hanging="230"/>
      </w:pPr>
      <w:r>
        <w:t>RBAC</w:t>
      </w:r>
    </w:p>
    <w:p>
      <w:pPr>
        <w:pStyle w:val="ListBullet"/>
        <w:spacing w:after="60"/>
        <w:ind w:left="360" w:hanging="230"/>
      </w:pPr>
      <w:r>
        <w:t>Approved model deployment</w:t>
      </w:r>
    </w:p>
    <w:p>
      <w:pPr>
        <w:pStyle w:val="ListBullet"/>
        <w:spacing w:after="60"/>
        <w:ind w:left="360" w:hanging="230"/>
      </w:pPr>
      <w:r>
        <w:t>Quota configuration</w:t>
      </w:r>
    </w:p>
    <w:p>
      <w:pPr>
        <w:pStyle w:val="ListBullet"/>
        <w:spacing w:after="60"/>
        <w:ind w:left="360" w:hanging="230"/>
      </w:pPr>
      <w:r>
        <w:t>Logging and diagnostics</w:t>
      </w:r>
    </w:p>
    <w:p>
      <w:pPr>
        <w:pStyle w:val="ListBullet"/>
        <w:spacing w:after="60"/>
        <w:ind w:left="360" w:hanging="230"/>
      </w:pPr>
      <w:r>
        <w:t>Appropriate model/service controls</w:t>
      </w:r>
    </w:p>
    <w:tbl>
      <w:tblPr>
        <w:tblW w:type="auto" w:w="0"/>
        <w:jc w:val="center"/>
        <w:tblLayout w:type="fixed"/>
        <w:tblLook w:firstColumn="1" w:firstRow="1" w:lastColumn="0" w:lastRow="0" w:noHBand="0" w:noVBand="1" w:val="04A0"/>
      </w:tblPr>
      <w:tblGrid>
        <w:gridCol w:w="173"/>
        <w:gridCol w:w="9475"/>
      </w:tblGrid>
      <w:tr>
        <w:tc>
          <w:tcPr>
            <w:tcW w:type="dxa" w:w="4939"/>
            <w:shd w:fill="2E7D7A"/>
          </w:tcPr>
          <w:p>
            <w:r/>
          </w:p>
        </w:tc>
        <w:tc>
          <w:tcPr>
            <w:tcW w:type="dxa" w:w="4939"/>
            <w:shd w:fill="EAF1F5"/>
            <w:tcMar>
              <w:top w:w="160" w:type="dxa"/>
              <w:start w:w="160" w:type="dxa"/>
              <w:bottom w:w="160" w:type="dxa"/>
              <w:end w:w="160" w:type="dxa"/>
            </w:tcMar>
          </w:tcPr>
          <w:p>
            <w:pPr>
              <w:pStyle w:val="Callout"/>
            </w:pPr>
            <w:r>
              <w:rPr>
                <w:color w:val="2E7D7A"/>
                <w:sz w:val="16"/>
              </w:rPr>
              <w:t>SECURITY OBJECTIVE</w:t>
              <w:br/>
            </w:r>
            <w:r>
              <w:t>approved DRE workloads can reach an approved model deployment through an authorized private path, while unintended access paths are denied and observable.</w:t>
            </w:r>
          </w:p>
        </w:tc>
      </w:tr>
    </w:tbl>
    <w:p/>
    <w:p>
      <w:pPr>
        <w:pStyle w:val="Heading2"/>
      </w:pPr>
      <w:r>
        <w:t>6.4 Authentication</w:t>
      </w:r>
    </w:p>
    <w:p>
      <w:r>
        <w:t>The intended enterprise architecture uses Microsoft Entra ID as the identity foundation.</w:t>
      </w:r>
    </w:p>
    <w:p>
      <w:pPr>
        <w:pStyle w:val="ListBullet"/>
        <w:spacing w:after="60"/>
        <w:ind w:left="360" w:hanging="230"/>
      </w:pPr>
      <w:r>
        <w:t>Human users</w:t>
      </w:r>
    </w:p>
    <w:p>
      <w:pPr>
        <w:pStyle w:val="ListBullet"/>
        <w:spacing w:after="60"/>
        <w:ind w:left="360" w:hanging="230"/>
      </w:pPr>
      <w:r>
        <w:t>Authorized billing reviewers</w:t>
      </w:r>
    </w:p>
    <w:p>
      <w:pPr>
        <w:pStyle w:val="ListBullet"/>
        <w:spacing w:after="60"/>
        <w:ind w:left="360" w:hanging="230"/>
      </w:pPr>
      <w:r>
        <w:t>Administrators</w:t>
      </w:r>
    </w:p>
    <w:p>
      <w:pPr>
        <w:pStyle w:val="ListBullet"/>
        <w:spacing w:after="60"/>
        <w:ind w:left="360" w:hanging="230"/>
      </w:pPr>
      <w:r>
        <w:t>Application workloads</w:t>
      </w:r>
    </w:p>
    <w:p>
      <w:pPr>
        <w:pStyle w:val="ListBullet"/>
        <w:spacing w:after="60"/>
        <w:ind w:left="360" w:hanging="230"/>
      </w:pPr>
      <w:r>
        <w:t>Deployment automation</w:t>
      </w:r>
    </w:p>
    <w:p>
      <w:pPr>
        <w:pStyle w:val="ListBullet"/>
        <w:spacing w:after="60"/>
        <w:ind w:left="360" w:hanging="230"/>
      </w:pPr>
      <w:r>
        <w:t>Supporting Azure services</w:t>
      </w:r>
    </w:p>
    <w:p>
      <w:pPr>
        <w:pStyle w:val="ListBullet"/>
        <w:spacing w:after="60"/>
        <w:ind w:left="360" w:hanging="230"/>
      </w:pPr>
      <w:r>
        <w:t>Operational support identities</w:t>
      </w:r>
    </w:p>
    <w:p>
      <w:pPr>
        <w:pStyle w:val="Heading2"/>
      </w:pPr>
      <w:r>
        <w:t>6.5 Authorization</w:t>
      </w:r>
    </w:p>
    <w:p>
      <w:r>
        <w:t>Authentication answers who the identity is.</w:t>
      </w:r>
    </w:p>
    <w:p>
      <w:r>
        <w:t>Authorization answers what that identity is permitted to do.</w:t>
      </w:r>
    </w:p>
    <w:p>
      <w:pPr>
        <w:pStyle w:val="ListBullet"/>
        <w:spacing w:after="60"/>
        <w:ind w:left="360" w:hanging="230"/>
      </w:pPr>
      <w:r>
        <w:t>Infrastructure administration</w:t>
      </w:r>
    </w:p>
    <w:p>
      <w:pPr>
        <w:pStyle w:val="ListBullet"/>
        <w:spacing w:after="60"/>
        <w:ind w:left="360" w:hanging="230"/>
      </w:pPr>
      <w:r>
        <w:t>Application deployment</w:t>
      </w:r>
    </w:p>
    <w:p>
      <w:pPr>
        <w:pStyle w:val="ListBullet"/>
        <w:spacing w:after="60"/>
        <w:ind w:left="360" w:hanging="230"/>
      </w:pPr>
      <w:r>
        <w:t>Application execution</w:t>
      </w:r>
    </w:p>
    <w:p>
      <w:pPr>
        <w:pStyle w:val="ListBullet"/>
        <w:spacing w:after="60"/>
        <w:ind w:left="360" w:hanging="230"/>
      </w:pPr>
      <w:r>
        <w:t>Key and secret access</w:t>
      </w:r>
    </w:p>
    <w:p>
      <w:pPr>
        <w:pStyle w:val="ListBullet"/>
        <w:spacing w:after="60"/>
        <w:ind w:left="360" w:hanging="230"/>
      </w:pPr>
      <w:r>
        <w:t>Audit-data access</w:t>
      </w:r>
    </w:p>
    <w:p>
      <w:pPr>
        <w:pStyle w:val="ListBullet"/>
        <w:spacing w:after="60"/>
        <w:ind w:left="360" w:hanging="230"/>
      </w:pPr>
      <w:r>
        <w:t>Model invocation</w:t>
      </w:r>
    </w:p>
    <w:p>
      <w:pPr>
        <w:pStyle w:val="ListBullet"/>
        <w:spacing w:after="60"/>
        <w:ind w:left="360" w:hanging="230"/>
      </w:pPr>
      <w:r>
        <w:t>Billing review</w:t>
      </w:r>
    </w:p>
    <w:p>
      <w:pPr>
        <w:pStyle w:val="ListBullet"/>
        <w:spacing w:after="60"/>
        <w:ind w:left="360" w:hanging="230"/>
      </w:pPr>
      <w:r>
        <w:t>Human disposition</w:t>
      </w:r>
    </w:p>
    <w:p>
      <w:pPr>
        <w:pStyle w:val="ListBullet"/>
        <w:spacing w:after="60"/>
        <w:ind w:left="360" w:hanging="230"/>
      </w:pPr>
      <w:r>
        <w:t>Operational monitoring</w:t>
      </w:r>
    </w:p>
    <w:p>
      <w:pPr>
        <w:pStyle w:val="ListBullet"/>
        <w:spacing w:after="60"/>
        <w:ind w:left="360" w:hanging="230"/>
      </w:pPr>
      <w:r>
        <w:t>Security administration</w:t>
      </w:r>
    </w:p>
    <w:p>
      <w:pPr>
        <w:pStyle w:val="Heading2"/>
      </w:pPr>
      <w:r>
        <w:t>6.6 Secrets, Keys, and Protected Configuration</w:t>
      </w:r>
    </w:p>
    <w:p>
      <w:r>
        <w:t>The current infrastructure provisions Azure Key Vault as the dedicated secrets-management resource.</w:t>
      </w:r>
    </w:p>
    <w:p>
      <w:pPr>
        <w:pStyle w:val="ListBullet"/>
        <w:spacing w:after="60"/>
        <w:ind w:left="360" w:hanging="230"/>
      </w:pPr>
      <w:r>
        <w:t>Credentials</w:t>
      </w:r>
    </w:p>
    <w:p>
      <w:pPr>
        <w:pStyle w:val="ListBullet"/>
        <w:spacing w:after="60"/>
        <w:ind w:left="360" w:hanging="230"/>
      </w:pPr>
      <w:r>
        <w:t>Certificates</w:t>
      </w:r>
    </w:p>
    <w:p>
      <w:pPr>
        <w:pStyle w:val="ListBullet"/>
        <w:spacing w:after="60"/>
        <w:ind w:left="360" w:hanging="230"/>
      </w:pPr>
      <w:r>
        <w:t>Encryption material</w:t>
      </w:r>
    </w:p>
    <w:p>
      <w:pPr>
        <w:pStyle w:val="ListBullet"/>
        <w:spacing w:after="60"/>
        <w:ind w:left="360" w:hanging="230"/>
      </w:pPr>
      <w:r>
        <w:t>Signing keys</w:t>
      </w:r>
    </w:p>
    <w:p>
      <w:pPr>
        <w:pStyle w:val="ListBullet"/>
        <w:spacing w:after="60"/>
        <w:ind w:left="360" w:hanging="230"/>
      </w:pPr>
      <w:r>
        <w:t>Service secrets</w:t>
      </w:r>
    </w:p>
    <w:p>
      <w:pPr>
        <w:pStyle w:val="ListBullet"/>
        <w:spacing w:after="60"/>
        <w:ind w:left="360" w:hanging="230"/>
      </w:pPr>
      <w:r>
        <w:t>Protected application configuration</w:t>
      </w:r>
    </w:p>
    <w:p>
      <w:pPr>
        <w:pStyle w:val="Heading2"/>
      </w:pPr>
      <w:r>
        <w:t>6.7 Customer-Data Handling</w:t>
      </w:r>
    </w:p>
    <w:p>
      <w:r>
        <w:t>DRE is being designed around customer-resident processing in the customer’s Azure environment.</w:t>
      </w:r>
    </w:p>
    <w:p>
      <w:pPr>
        <w:pStyle w:val="ListBullet"/>
        <w:spacing w:after="60"/>
        <w:ind w:left="360" w:hanging="230"/>
      </w:pPr>
      <w:r>
        <w:t>Original billing transaction</w:t>
      </w:r>
    </w:p>
    <w:p>
      <w:pPr>
        <w:pStyle w:val="ListBullet"/>
        <w:spacing w:after="60"/>
        <w:ind w:left="360" w:hanging="230"/>
      </w:pPr>
      <w:r>
        <w:t>Original narrative</w:t>
      </w:r>
    </w:p>
    <w:p>
      <w:pPr>
        <w:pStyle w:val="ListBullet"/>
        <w:spacing w:after="60"/>
        <w:ind w:left="360" w:hanging="230"/>
      </w:pPr>
      <w:r>
        <w:t>Deterministic findings</w:t>
      </w:r>
    </w:p>
    <w:p>
      <w:pPr>
        <w:pStyle w:val="ListBullet"/>
        <w:spacing w:after="60"/>
        <w:ind w:left="360" w:hanging="230"/>
      </w:pPr>
      <w:r>
        <w:t>Sanitized narrative</w:t>
      </w:r>
    </w:p>
    <w:p>
      <w:pPr>
        <w:pStyle w:val="ListBullet"/>
        <w:spacing w:after="60"/>
        <w:ind w:left="360" w:hanging="230"/>
      </w:pPr>
      <w:r>
        <w:t>Rule violations</w:t>
      </w:r>
    </w:p>
    <w:p>
      <w:pPr>
        <w:pStyle w:val="ListBullet"/>
        <w:spacing w:after="60"/>
        <w:ind w:left="360" w:hanging="230"/>
      </w:pPr>
      <w:r>
        <w:t>AI-review request</w:t>
      </w:r>
    </w:p>
    <w:p>
      <w:pPr>
        <w:pStyle w:val="ListBullet"/>
        <w:spacing w:after="60"/>
        <w:ind w:left="360" w:hanging="230"/>
      </w:pPr>
      <w:r>
        <w:t>Agent votes</w:t>
      </w:r>
    </w:p>
    <w:p>
      <w:pPr>
        <w:pStyle w:val="ListBullet"/>
        <w:spacing w:after="60"/>
        <w:ind w:left="360" w:hanging="230"/>
      </w:pPr>
      <w:r>
        <w:t>Agent reasoning</w:t>
      </w:r>
    </w:p>
    <w:p>
      <w:pPr>
        <w:pStyle w:val="ListBullet"/>
        <w:spacing w:after="60"/>
        <w:ind w:left="360" w:hanging="230"/>
      </w:pPr>
      <w:r>
        <w:t>Consensus/referee result</w:t>
      </w:r>
    </w:p>
    <w:p>
      <w:pPr>
        <w:pStyle w:val="ListBullet"/>
        <w:spacing w:after="60"/>
        <w:ind w:left="360" w:hanging="230"/>
      </w:pPr>
      <w:r>
        <w:t>Proposed financial adjustment</w:t>
      </w:r>
    </w:p>
    <w:p>
      <w:pPr>
        <w:pStyle w:val="ListBullet"/>
        <w:spacing w:after="60"/>
        <w:ind w:left="360" w:hanging="230"/>
      </w:pPr>
      <w:r>
        <w:t>Human-review state</w:t>
      </w:r>
    </w:p>
    <w:p>
      <w:pPr>
        <w:pStyle w:val="ListBullet"/>
        <w:spacing w:after="60"/>
        <w:ind w:left="360" w:hanging="230"/>
      </w:pPr>
      <w:r>
        <w:t>Authorized disposition</w:t>
      </w:r>
    </w:p>
    <w:p>
      <w:pPr>
        <w:pStyle w:val="ListBullet"/>
        <w:spacing w:after="60"/>
        <w:ind w:left="360" w:hanging="230"/>
      </w:pPr>
      <w:r>
        <w:t>Audit record</w:t>
      </w:r>
    </w:p>
    <w:p>
      <w:pPr>
        <w:pStyle w:val="ListBullet"/>
        <w:spacing w:after="60"/>
        <w:ind w:left="360" w:hanging="230"/>
      </w:pPr>
      <w:r>
        <w:t>Operational telemetry</w:t>
      </w:r>
    </w:p>
    <w:p>
      <w:pPr>
        <w:pStyle w:val="Heading2"/>
      </w:pPr>
      <w:r>
        <w:t>6.8 Data Residency</w:t>
      </w:r>
    </w:p>
    <w:p>
      <w:r>
        <w:t>The Azure architecture is parameterized around a selected deployment region.</w:t>
      </w:r>
    </w:p>
    <w:p>
      <w:pPr>
        <w:pStyle w:val="Heading2"/>
      </w:pPr>
      <w:r>
        <w:t>6.9 Data Retention</w:t>
      </w:r>
    </w:p>
    <w:p>
      <w:r>
        <w:t>Retention is an identified governance requirement, but the current infrastructure does not yet implement a complete retention policy.</w:t>
      </w:r>
    </w:p>
    <w:p>
      <w:pPr>
        <w:pStyle w:val="ListBullet"/>
        <w:spacing w:after="60"/>
        <w:ind w:left="360" w:hanging="230"/>
      </w:pPr>
      <w:r>
        <w:t>Original transactions</w:t>
      </w:r>
    </w:p>
    <w:p>
      <w:pPr>
        <w:pStyle w:val="ListBullet"/>
        <w:spacing w:after="60"/>
        <w:ind w:left="360" w:hanging="230"/>
      </w:pPr>
      <w:r>
        <w:t>Deterministic processing records</w:t>
      </w:r>
    </w:p>
    <w:p>
      <w:pPr>
        <w:pStyle w:val="ListBullet"/>
        <w:spacing w:after="60"/>
        <w:ind w:left="360" w:hanging="230"/>
      </w:pPr>
      <w:r>
        <w:t>Agent votes and reasoning</w:t>
      </w:r>
    </w:p>
    <w:p>
      <w:pPr>
        <w:pStyle w:val="ListBullet"/>
        <w:spacing w:after="60"/>
        <w:ind w:left="360" w:hanging="230"/>
      </w:pPr>
      <w:r>
        <w:t>Referee/consensus records</w:t>
      </w:r>
    </w:p>
    <w:p>
      <w:pPr>
        <w:pStyle w:val="ListBullet"/>
        <w:spacing w:after="60"/>
        <w:ind w:left="360" w:hanging="230"/>
      </w:pPr>
      <w:r>
        <w:t>Human dispositions</w:t>
      </w:r>
    </w:p>
    <w:p>
      <w:pPr>
        <w:pStyle w:val="ListBullet"/>
        <w:spacing w:after="60"/>
        <w:ind w:left="360" w:hanging="230"/>
      </w:pPr>
      <w:r>
        <w:t>Audit records</w:t>
      </w:r>
    </w:p>
    <w:p>
      <w:pPr>
        <w:pStyle w:val="ListBullet"/>
        <w:spacing w:after="60"/>
        <w:ind w:left="360" w:hanging="230"/>
      </w:pPr>
      <w:r>
        <w:t>Security logs</w:t>
      </w:r>
    </w:p>
    <w:p>
      <w:pPr>
        <w:pStyle w:val="ListBullet"/>
        <w:spacing w:after="60"/>
        <w:ind w:left="360" w:hanging="230"/>
      </w:pPr>
      <w:r>
        <w:t>Operational telemetry</w:t>
      </w:r>
    </w:p>
    <w:p>
      <w:pPr>
        <w:pStyle w:val="ListBullet"/>
        <w:spacing w:after="60"/>
        <w:ind w:left="360" w:hanging="230"/>
      </w:pPr>
      <w:r>
        <w:t>Deployment evidence</w:t>
      </w:r>
    </w:p>
    <w:p>
      <w:pPr>
        <w:pStyle w:val="ListBullet"/>
        <w:spacing w:after="60"/>
        <w:ind w:left="360" w:hanging="230"/>
      </w:pPr>
      <w:r>
        <w:t>Test evidence</w:t>
      </w:r>
    </w:p>
    <w:p>
      <w:pPr>
        <w:pStyle w:val="ListBullet"/>
        <w:spacing w:after="60"/>
        <w:ind w:left="360" w:hanging="230"/>
      </w:pPr>
      <w:r>
        <w:t>Backup data</w:t>
      </w:r>
    </w:p>
    <w:p>
      <w:pPr>
        <w:pStyle w:val="Heading2"/>
      </w:pPr>
      <w:r>
        <w:t>6.10 Structured Auditability</w:t>
      </w:r>
    </w:p>
    <w:p>
      <w:r>
        <w:t>Auditability is a core DRE architectural requirement.</w:t>
      </w:r>
    </w:p>
    <w:p>
      <w:pPr>
        <w:pStyle w:val="ListBullet"/>
        <w:spacing w:after="60"/>
        <w:ind w:left="360" w:hanging="230"/>
      </w:pPr>
      <w:r>
        <w:t>Original transaction</w:t>
      </w:r>
    </w:p>
    <w:p>
      <w:pPr>
        <w:pStyle w:val="ListBullet"/>
        <w:spacing w:after="60"/>
        <w:ind w:left="360" w:hanging="230"/>
      </w:pPr>
      <w:r>
        <w:t>Applicable rule/policy context</w:t>
      </w:r>
    </w:p>
    <w:p>
      <w:pPr>
        <w:pStyle w:val="ListBullet"/>
        <w:spacing w:after="60"/>
        <w:ind w:left="360" w:hanging="230"/>
      </w:pPr>
      <w:r>
        <w:t>Rules fired</w:t>
      </w:r>
    </w:p>
    <w:p>
      <w:pPr>
        <w:pStyle w:val="ListBullet"/>
        <w:spacing w:after="60"/>
        <w:ind w:left="360" w:hanging="230"/>
      </w:pPr>
      <w:r>
        <w:t>Deterministic findings</w:t>
      </w:r>
    </w:p>
    <w:p>
      <w:pPr>
        <w:pStyle w:val="ListBullet"/>
        <w:spacing w:after="60"/>
        <w:ind w:left="360" w:hanging="230"/>
      </w:pPr>
      <w:r>
        <w:t>Processing pathway</w:t>
      </w:r>
    </w:p>
    <w:p>
      <w:pPr>
        <w:pStyle w:val="ListBullet"/>
        <w:spacing w:after="60"/>
        <w:ind w:left="360" w:hanging="230"/>
      </w:pPr>
      <w:r>
        <w:t>Quarantine state</w:t>
      </w:r>
    </w:p>
    <w:p>
      <w:pPr>
        <w:pStyle w:val="ListBullet"/>
        <w:spacing w:after="60"/>
        <w:ind w:left="360" w:hanging="230"/>
      </w:pPr>
      <w:r>
        <w:t>AI votes where applicable</w:t>
      </w:r>
    </w:p>
    <w:p>
      <w:pPr>
        <w:pStyle w:val="ListBullet"/>
        <w:spacing w:after="60"/>
        <w:ind w:left="360" w:hanging="230"/>
      </w:pPr>
      <w:r>
        <w:t>Reasoning/evidence associated with semantic review</w:t>
      </w:r>
    </w:p>
    <w:p>
      <w:pPr>
        <w:pStyle w:val="ListBullet"/>
        <w:spacing w:after="60"/>
        <w:ind w:left="360" w:hanging="230"/>
      </w:pPr>
      <w:r>
        <w:t>Referee or consensus result</w:t>
      </w:r>
    </w:p>
    <w:p>
      <w:pPr>
        <w:pStyle w:val="ListBullet"/>
        <w:spacing w:after="60"/>
        <w:ind w:left="360" w:hanging="230"/>
      </w:pPr>
      <w:r>
        <w:t>Proposed treatment</w:t>
      </w:r>
    </w:p>
    <w:p>
      <w:pPr>
        <w:pStyle w:val="ListBullet"/>
        <w:spacing w:after="60"/>
        <w:ind w:left="360" w:hanging="230"/>
      </w:pPr>
      <w:r>
        <w:t>Financial implication</w:t>
      </w:r>
    </w:p>
    <w:p>
      <w:pPr>
        <w:pStyle w:val="ListBullet"/>
        <w:spacing w:after="60"/>
        <w:ind w:left="360" w:hanging="230"/>
      </w:pPr>
      <w:r>
        <w:t>Human disposition</w:t>
      </w:r>
    </w:p>
    <w:p>
      <w:pPr>
        <w:pStyle w:val="ListBullet"/>
        <w:spacing w:after="60"/>
        <w:ind w:left="360" w:hanging="230"/>
      </w:pPr>
      <w:r>
        <w:t>Final transaction state</w:t>
      </w:r>
    </w:p>
    <w:tbl>
      <w:tblPr>
        <w:tblW w:type="auto" w:w="0"/>
        <w:jc w:val="center"/>
        <w:tblLayout w:type="fixed"/>
        <w:tblLook w:firstColumn="1" w:firstRow="1" w:lastColumn="0" w:lastRow="0" w:noHBand="0" w:noVBand="1" w:val="04A0"/>
      </w:tblPr>
      <w:tblGrid>
        <w:gridCol w:w="173"/>
        <w:gridCol w:w="9475"/>
      </w:tblGrid>
      <w:tr>
        <w:tc>
          <w:tcPr>
            <w:tcW w:type="dxa" w:w="4939"/>
            <w:shd w:fill="2E7D7A"/>
          </w:tcPr>
          <w:p>
            <w:r/>
          </w:p>
        </w:tc>
        <w:tc>
          <w:tcPr>
            <w:tcW w:type="dxa" w:w="4939"/>
            <w:shd w:fill="EAF1F5"/>
            <w:tcMar>
              <w:top w:w="160" w:type="dxa"/>
              <w:start w:w="160" w:type="dxa"/>
              <w:bottom w:w="160" w:type="dxa"/>
              <w:end w:w="160" w:type="dxa"/>
            </w:tcMar>
          </w:tcPr>
          <w:p>
            <w:pPr>
              <w:pStyle w:val="Callout"/>
            </w:pPr>
            <w:r>
              <w:rPr>
                <w:color w:val="2E7D7A"/>
                <w:sz w:val="16"/>
              </w:rPr>
              <w:t>GOVERNANCE EVIDENCE CHAIN</w:t>
              <w:br/>
            </w:r>
            <w:r>
              <w:t>what entered the system → what deterministic rules found → what AI interpreted → what the referee logic determined → what the authorized human decided.</w:t>
            </w:r>
          </w:p>
        </w:tc>
      </w:tr>
    </w:tbl>
    <w:p/>
    <w:p>
      <w:pPr>
        <w:pStyle w:val="Heading2"/>
      </w:pPr>
      <w:r>
        <w:t>6.11 Policy Provenance</w:t>
      </w:r>
    </w:p>
    <w:p>
      <w:r>
        <w:t>DRE’s deterministic controls depend on policies and rules having identifiable provenance.</w:t>
      </w:r>
    </w:p>
    <w:p>
      <w:pPr>
        <w:pStyle w:val="ListBullet"/>
        <w:spacing w:after="60"/>
        <w:ind w:left="360" w:hanging="230"/>
      </w:pPr>
      <w:r>
        <w:t>Different clients may use different guidelines.</w:t>
      </w:r>
    </w:p>
    <w:p>
      <w:pPr>
        <w:pStyle w:val="ListBullet"/>
        <w:spacing w:after="60"/>
        <w:ind w:left="360" w:hanging="230"/>
      </w:pPr>
      <w:r>
        <w:t>Guidelines may change over time.</w:t>
      </w:r>
    </w:p>
    <w:p>
      <w:pPr>
        <w:pStyle w:val="ListBullet"/>
        <w:spacing w:after="60"/>
        <w:ind w:left="360" w:hanging="230"/>
      </w:pPr>
      <w:r>
        <w:t>Matter-specific arrangements may alter default rules.</w:t>
      </w:r>
    </w:p>
    <w:p>
      <w:pPr>
        <w:pStyle w:val="ListBullet"/>
        <w:spacing w:after="60"/>
        <w:ind w:left="360" w:hanging="230"/>
      </w:pPr>
      <w:r>
        <w:t>Authorized exceptions may exist.</w:t>
      </w:r>
    </w:p>
    <w:p>
      <w:pPr>
        <w:pStyle w:val="ListBullet"/>
        <w:spacing w:after="60"/>
        <w:ind w:left="360" w:hanging="230"/>
      </w:pPr>
      <w:r>
        <w:t>A later reviewer must be able to understand which rule set governed the original decision.</w:t>
      </w:r>
    </w:p>
    <w:p>
      <w:pPr>
        <w:pStyle w:val="Heading2"/>
      </w:pPr>
      <w:r>
        <w:t>6.12 AI Governance Boundary</w:t>
      </w:r>
    </w:p>
    <w:p>
      <w:r>
        <w:t>DRE deliberately places AI inside a constrained architectural role.</w:t>
      </w:r>
    </w:p>
    <w:p>
      <w:pPr>
        <w:pStyle w:val="ListBullet"/>
        <w:spacing w:after="60"/>
        <w:ind w:left="360" w:hanging="230"/>
      </w:pPr>
      <w:r>
        <w:t>AI is not the first processing layer.</w:t>
      </w:r>
    </w:p>
    <w:p>
      <w:pPr>
        <w:pStyle w:val="ListBullet"/>
        <w:spacing w:after="60"/>
        <w:ind w:left="360" w:hanging="230"/>
      </w:pPr>
      <w:r>
        <w:t>AI does not define the governing OCG.</w:t>
      </w:r>
    </w:p>
    <w:p>
      <w:pPr>
        <w:pStyle w:val="ListBullet"/>
        <w:spacing w:after="60"/>
        <w:ind w:left="360" w:hanging="230"/>
      </w:pPr>
      <w:r>
        <w:t>AI does not replace deterministic schema and policy checks.</w:t>
      </w:r>
    </w:p>
    <w:p>
      <w:pPr>
        <w:pStyle w:val="ListBullet"/>
        <w:spacing w:after="60"/>
        <w:ind w:left="360" w:hanging="230"/>
      </w:pPr>
      <w:r>
        <w:t>AI does not silently determine the final authorized billing disposition.</w:t>
      </w:r>
    </w:p>
    <w:tbl>
      <w:tblPr>
        <w:tblW w:type="auto" w:w="0"/>
        <w:jc w:val="center"/>
        <w:tblLayout w:type="fixed"/>
        <w:tblLook w:firstColumn="1" w:firstRow="1" w:lastColumn="0" w:lastRow="0" w:noHBand="0" w:noVBand="1" w:val="04A0"/>
      </w:tblPr>
      <w:tblGrid>
        <w:gridCol w:w="173"/>
        <w:gridCol w:w="9475"/>
      </w:tblGrid>
      <w:tr>
        <w:tc>
          <w:tcPr>
            <w:tcW w:type="dxa" w:w="4939"/>
            <w:shd w:fill="2E7D7A"/>
          </w:tcPr>
          <w:p>
            <w:r/>
          </w:p>
        </w:tc>
        <w:tc>
          <w:tcPr>
            <w:tcW w:type="dxa" w:w="4939"/>
            <w:shd w:fill="EAF1F5"/>
            <w:tcMar>
              <w:top w:w="160" w:type="dxa"/>
              <w:start w:w="160" w:type="dxa"/>
              <w:bottom w:w="160" w:type="dxa"/>
              <w:end w:w="160" w:type="dxa"/>
            </w:tcMar>
          </w:tcPr>
          <w:p>
            <w:pPr>
              <w:pStyle w:val="Callout"/>
            </w:pPr>
            <w:r>
              <w:rPr>
                <w:color w:val="2E7D7A"/>
                <w:sz w:val="16"/>
              </w:rPr>
              <w:t>INTENDED GOVERNANCE CHAIN</w:t>
              <w:br/>
            </w:r>
            <w:r>
              <w:t>deterministic controls → controlled semantic evaluation → deterministic aggregation/routing → authorized human authority where required.</w:t>
            </w:r>
          </w:p>
        </w:tc>
      </w:tr>
    </w:tbl>
    <w:p/>
    <w:p>
      <w:pPr>
        <w:pStyle w:val="Heading2"/>
      </w:pPr>
      <w:r>
        <w:t>6.13 Human Decision Authority</w:t>
      </w:r>
    </w:p>
    <w:p>
      <w:r>
        <w:t>Human authority is not a fallback added because the system is incomplete.</w:t>
      </w:r>
    </w:p>
    <w:p>
      <w:pPr>
        <w:pStyle w:val="ListBullet"/>
        <w:spacing w:after="60"/>
        <w:ind w:left="360" w:hanging="230"/>
      </w:pPr>
      <w:r>
        <w:t>Identify</w:t>
      </w:r>
    </w:p>
    <w:p>
      <w:pPr>
        <w:pStyle w:val="ListBullet"/>
        <w:spacing w:after="60"/>
        <w:ind w:left="360" w:hanging="230"/>
      </w:pPr>
      <w:r>
        <w:t>Calculate</w:t>
      </w:r>
    </w:p>
    <w:p>
      <w:pPr>
        <w:pStyle w:val="ListBullet"/>
        <w:spacing w:after="60"/>
        <w:ind w:left="360" w:hanging="230"/>
      </w:pPr>
      <w:r>
        <w:t>Explain</w:t>
      </w:r>
    </w:p>
    <w:p>
      <w:pPr>
        <w:pStyle w:val="ListBullet"/>
        <w:spacing w:after="60"/>
        <w:ind w:left="360" w:hanging="230"/>
      </w:pPr>
      <w:r>
        <w:t>Organize</w:t>
      </w:r>
    </w:p>
    <w:p>
      <w:pPr>
        <w:pStyle w:val="ListBullet"/>
        <w:spacing w:after="60"/>
        <w:ind w:left="360" w:hanging="230"/>
      </w:pPr>
      <w:r>
        <w:t>Recommend</w:t>
      </w:r>
    </w:p>
    <w:p>
      <w:pPr>
        <w:pStyle w:val="ListBullet"/>
        <w:spacing w:after="60"/>
        <w:ind w:left="360" w:hanging="230"/>
      </w:pPr>
      <w:r>
        <w:t>Route</w:t>
      </w:r>
    </w:p>
    <w:p>
      <w:pPr>
        <w:pStyle w:val="ListBullet"/>
        <w:spacing w:after="60"/>
        <w:ind w:left="360" w:hanging="230"/>
      </w:pPr>
      <w:r>
        <w:t>Quarantine</w:t>
      </w:r>
    </w:p>
    <w:p>
      <w:pPr>
        <w:pStyle w:val="ListBullet"/>
        <w:spacing w:after="60"/>
        <w:ind w:left="360" w:hanging="230"/>
      </w:pPr>
      <w:r>
        <w:t>Escalate</w:t>
      </w:r>
    </w:p>
    <w:p>
      <w:r>
        <w:t>But the system’s recommendation and the authorized human’s disposition remain distinguishable events.</w:t>
      </w:r>
    </w:p>
    <w:p>
      <w:r>
        <w:t>This distinction is particularly important for financial reporting.</w:t>
      </w:r>
    </w:p>
    <w:p>
      <w:r>
        <w:t>A DRE-identified or proposed adjustment is not automatically the same thing as an approved adjustment or realized savings.</w:t>
      </w:r>
    </w:p>
    <w:p>
      <w:r>
        <w:t>Human disposition establishes the authorized business result.</w:t>
      </w:r>
    </w:p>
    <w:p>
      <w:pPr>
        <w:pStyle w:val="Heading2"/>
      </w:pPr>
      <w:r>
        <w:t>6.14 Logging and Observability</w:t>
      </w:r>
    </w:p>
    <w:p>
      <w:r>
        <w:t>A governed system must make important actions observable.</w:t>
      </w:r>
    </w:p>
    <w:p>
      <w:pPr>
        <w:pStyle w:val="ListBullet"/>
        <w:spacing w:after="60"/>
        <w:ind w:left="360" w:hanging="230"/>
      </w:pPr>
      <w:r>
        <w:t>Authentication attempts</w:t>
      </w:r>
    </w:p>
    <w:p>
      <w:pPr>
        <w:pStyle w:val="ListBullet"/>
        <w:spacing w:after="60"/>
        <w:ind w:left="360" w:hanging="230"/>
      </w:pPr>
      <w:r>
        <w:t>Authorization failures</w:t>
      </w:r>
    </w:p>
    <w:p>
      <w:pPr>
        <w:pStyle w:val="ListBullet"/>
        <w:spacing w:after="60"/>
        <w:ind w:left="360" w:hanging="230"/>
      </w:pPr>
      <w:r>
        <w:t>Service access</w:t>
      </w:r>
    </w:p>
    <w:p>
      <w:pPr>
        <w:pStyle w:val="ListBullet"/>
        <w:spacing w:after="60"/>
        <w:ind w:left="360" w:hanging="230"/>
      </w:pPr>
      <w:r>
        <w:t>Model invocation</w:t>
      </w:r>
    </w:p>
    <w:p>
      <w:pPr>
        <w:pStyle w:val="ListBullet"/>
        <w:spacing w:after="60"/>
        <w:ind w:left="360" w:hanging="230"/>
      </w:pPr>
      <w:r>
        <w:t>Processing failures</w:t>
      </w:r>
    </w:p>
    <w:p>
      <w:pPr>
        <w:pStyle w:val="ListBullet"/>
        <w:spacing w:after="60"/>
        <w:ind w:left="360" w:hanging="230"/>
      </w:pPr>
      <w:r>
        <w:t>Transaction errors</w:t>
      </w:r>
    </w:p>
    <w:p>
      <w:pPr>
        <w:pStyle w:val="ListBullet"/>
        <w:spacing w:after="60"/>
        <w:ind w:left="360" w:hanging="230"/>
      </w:pPr>
      <w:r>
        <w:t>Infrastructure changes</w:t>
      </w:r>
    </w:p>
    <w:p>
      <w:pPr>
        <w:pStyle w:val="ListBullet"/>
        <w:spacing w:after="60"/>
        <w:ind w:left="360" w:hanging="230"/>
      </w:pPr>
      <w:r>
        <w:t>Deployment events</w:t>
      </w:r>
    </w:p>
    <w:p>
      <w:pPr>
        <w:pStyle w:val="ListBullet"/>
        <w:spacing w:after="60"/>
        <w:ind w:left="360" w:hanging="230"/>
      </w:pPr>
      <w:r>
        <w:t>Security events</w:t>
      </w:r>
    </w:p>
    <w:p>
      <w:pPr>
        <w:pStyle w:val="ListBullet"/>
        <w:spacing w:after="60"/>
        <w:ind w:left="360" w:hanging="230"/>
      </w:pPr>
      <w:r>
        <w:t>Latency</w:t>
      </w:r>
    </w:p>
    <w:p>
      <w:pPr>
        <w:pStyle w:val="ListBullet"/>
        <w:spacing w:after="60"/>
        <w:ind w:left="360" w:hanging="230"/>
      </w:pPr>
      <w:r>
        <w:t>Availability</w:t>
      </w:r>
    </w:p>
    <w:p>
      <w:pPr>
        <w:pStyle w:val="ListBullet"/>
        <w:spacing w:after="60"/>
        <w:ind w:left="360" w:hanging="230"/>
      </w:pPr>
      <w:r>
        <w:t>Policy events</w:t>
      </w:r>
    </w:p>
    <w:p>
      <w:pPr>
        <w:pStyle w:val="ListBullet"/>
        <w:spacing w:after="60"/>
        <w:ind w:left="360" w:hanging="230"/>
      </w:pPr>
      <w:r>
        <w:t>Human-review activity</w:t>
      </w:r>
    </w:p>
    <w:p>
      <w:pPr>
        <w:pStyle w:val="ListBullet"/>
        <w:spacing w:after="60"/>
        <w:ind w:left="360" w:hanging="230"/>
      </w:pPr>
      <w:r>
        <w:t>Correlation between application and infrastructure events</w:t>
      </w:r>
    </w:p>
    <w:p>
      <w:pPr>
        <w:pStyle w:val="Heading2"/>
      </w:pPr>
      <w:r>
        <w:t>6.15 Correlation and Traceability</w:t>
      </w:r>
    </w:p>
    <w:p>
      <w:r>
        <w:t>A mature DRE transaction should be traceable across the processing chain.</w:t>
      </w:r>
    </w:p>
    <w:p>
      <w:pPr>
        <w:pStyle w:val="ListBullet"/>
        <w:spacing w:after="60"/>
        <w:ind w:left="360" w:hanging="230"/>
      </w:pPr>
      <w:r>
        <w:t>Incoming transaction</w:t>
      </w:r>
    </w:p>
    <w:p>
      <w:pPr>
        <w:pStyle w:val="ListBullet"/>
        <w:spacing w:after="60"/>
        <w:ind w:left="360" w:hanging="230"/>
      </w:pPr>
      <w:r>
        <w:t>Deterministic execution</w:t>
      </w:r>
    </w:p>
    <w:p>
      <w:pPr>
        <w:pStyle w:val="ListBullet"/>
        <w:spacing w:after="60"/>
        <w:ind w:left="360" w:hanging="230"/>
      </w:pPr>
      <w:r>
        <w:t>Rule violations</w:t>
      </w:r>
    </w:p>
    <w:p>
      <w:pPr>
        <w:pStyle w:val="ListBullet"/>
        <w:spacing w:after="60"/>
        <w:ind w:left="360" w:hanging="230"/>
      </w:pPr>
      <w:r>
        <w:t>AI invocation, if any</w:t>
      </w:r>
    </w:p>
    <w:p>
      <w:pPr>
        <w:pStyle w:val="ListBullet"/>
        <w:spacing w:after="60"/>
        <w:ind w:left="360" w:hanging="230"/>
      </w:pPr>
      <w:r>
        <w:t>Agent outputs</w:t>
      </w:r>
    </w:p>
    <w:p>
      <w:pPr>
        <w:pStyle w:val="ListBullet"/>
        <w:spacing w:after="60"/>
        <w:ind w:left="360" w:hanging="230"/>
      </w:pPr>
      <w:r>
        <w:t>Consensus/referee result</w:t>
      </w:r>
    </w:p>
    <w:p>
      <w:pPr>
        <w:pStyle w:val="ListBullet"/>
        <w:spacing w:after="60"/>
        <w:ind w:left="360" w:hanging="230"/>
      </w:pPr>
      <w:r>
        <w:t>Final processing state</w:t>
      </w:r>
    </w:p>
    <w:p>
      <w:pPr>
        <w:pStyle w:val="ListBullet"/>
        <w:spacing w:after="60"/>
        <w:ind w:left="360" w:hanging="230"/>
      </w:pPr>
      <w:r>
        <w:t>Human review</w:t>
      </w:r>
    </w:p>
    <w:p>
      <w:pPr>
        <w:pStyle w:val="ListBullet"/>
        <w:spacing w:after="60"/>
        <w:ind w:left="360" w:hanging="230"/>
      </w:pPr>
      <w:r>
        <w:t>Data write</w:t>
      </w:r>
    </w:p>
    <w:p>
      <w:pPr>
        <w:pStyle w:val="ListBullet"/>
        <w:spacing w:after="60"/>
        <w:ind w:left="360" w:hanging="230"/>
      </w:pPr>
      <w:r>
        <w:t>Operational log entries</w:t>
      </w:r>
    </w:p>
    <w:p>
      <w:pPr>
        <w:pStyle w:val="Heading2"/>
      </w:pPr>
      <w:r>
        <w:t>6.16 Controlled Failure</w:t>
      </w:r>
    </w:p>
    <w:p>
      <w:r>
        <w:t>DRE’s governance model requires failures to become explicit processing states rather than hidden outcomes.</w:t>
      </w:r>
    </w:p>
    <w:p>
      <w:pPr>
        <w:pStyle w:val="ListBullet"/>
        <w:spacing w:after="60"/>
        <w:ind w:left="360" w:hanging="230"/>
      </w:pPr>
      <w:r>
        <w:t>Failed service authentication</w:t>
      </w:r>
    </w:p>
    <w:p>
      <w:pPr>
        <w:pStyle w:val="ListBullet"/>
        <w:spacing w:after="60"/>
        <w:ind w:left="360" w:hanging="230"/>
      </w:pPr>
      <w:r>
        <w:t>Failed private connectivity</w:t>
      </w:r>
    </w:p>
    <w:p>
      <w:pPr>
        <w:pStyle w:val="ListBullet"/>
        <w:spacing w:after="60"/>
        <w:ind w:left="360" w:hanging="230"/>
      </w:pPr>
      <w:r>
        <w:t>Unavailable model deployment</w:t>
      </w:r>
    </w:p>
    <w:p>
      <w:pPr>
        <w:pStyle w:val="ListBullet"/>
        <w:spacing w:after="60"/>
        <w:ind w:left="360" w:hanging="230"/>
      </w:pPr>
      <w:r>
        <w:t>Storage failure</w:t>
      </w:r>
    </w:p>
    <w:p>
      <w:pPr>
        <w:pStyle w:val="ListBullet"/>
        <w:spacing w:after="60"/>
        <w:ind w:left="360" w:hanging="230"/>
      </w:pPr>
      <w:r>
        <w:t>Logging failure</w:t>
      </w:r>
    </w:p>
    <w:p>
      <w:pPr>
        <w:pStyle w:val="ListBullet"/>
        <w:spacing w:after="60"/>
        <w:ind w:left="360" w:hanging="230"/>
      </w:pPr>
      <w:r>
        <w:t>Invalid transaction state</w:t>
      </w:r>
    </w:p>
    <w:p>
      <w:pPr>
        <w:pStyle w:val="ListBullet"/>
        <w:spacing w:after="60"/>
        <w:ind w:left="360" w:hanging="230"/>
      </w:pPr>
      <w:r>
        <w:t>Missing policy context</w:t>
      </w:r>
    </w:p>
    <w:p>
      <w:pPr>
        <w:pStyle w:val="ListBullet"/>
        <w:spacing w:after="60"/>
        <w:ind w:left="360" w:hanging="230"/>
      </w:pPr>
      <w:r>
        <w:t>Unauthorized access attempt</w:t>
      </w:r>
    </w:p>
    <w:p>
      <w:pPr>
        <w:pStyle w:val="ListBullet"/>
        <w:spacing w:after="60"/>
        <w:ind w:left="360" w:hanging="230"/>
      </w:pPr>
      <w:r>
        <w:t>Deployment-control failure</w:t>
      </w:r>
    </w:p>
    <w:p>
      <w:pPr>
        <w:pStyle w:val="Heading2"/>
      </w:pPr>
      <w:r>
        <w:t>6.17 Recovery</w:t>
      </w:r>
    </w:p>
    <w:p>
      <w:r>
        <w:t>Recovery requirements extend beyond simple service availability.</w:t>
      </w:r>
    </w:p>
    <w:p>
      <w:pPr>
        <w:pStyle w:val="ListBullet"/>
        <w:spacing w:after="60"/>
        <w:ind w:left="360" w:hanging="230"/>
      </w:pPr>
      <w:r>
        <w:t>Application recovery</w:t>
      </w:r>
    </w:p>
    <w:p>
      <w:pPr>
        <w:pStyle w:val="ListBullet"/>
        <w:spacing w:after="60"/>
        <w:ind w:left="360" w:hanging="230"/>
      </w:pPr>
      <w:r>
        <w:t>Data recovery</w:t>
      </w:r>
    </w:p>
    <w:p>
      <w:pPr>
        <w:pStyle w:val="ListBullet"/>
        <w:spacing w:after="60"/>
        <w:ind w:left="360" w:hanging="230"/>
      </w:pPr>
      <w:r>
        <w:t>Cosmos DB backup/recovery decisions</w:t>
      </w:r>
    </w:p>
    <w:p>
      <w:pPr>
        <w:pStyle w:val="ListBullet"/>
        <w:spacing w:after="60"/>
        <w:ind w:left="360" w:hanging="230"/>
      </w:pPr>
      <w:r>
        <w:t>Infrastructure redeployment</w:t>
      </w:r>
    </w:p>
    <w:p>
      <w:pPr>
        <w:pStyle w:val="ListBullet"/>
        <w:spacing w:after="60"/>
        <w:ind w:left="360" w:hanging="230"/>
      </w:pPr>
      <w:r>
        <w:t>Key/secret recovery procedures</w:t>
      </w:r>
    </w:p>
    <w:p>
      <w:pPr>
        <w:pStyle w:val="ListBullet"/>
        <w:spacing w:after="60"/>
        <w:ind w:left="360" w:hanging="230"/>
      </w:pPr>
      <w:r>
        <w:t>Failed-transaction recovery</w:t>
      </w:r>
    </w:p>
    <w:p>
      <w:pPr>
        <w:pStyle w:val="ListBullet"/>
        <w:spacing w:after="60"/>
        <w:ind w:left="360" w:hanging="230"/>
      </w:pPr>
      <w:r>
        <w:t>Queue/retry behavior</w:t>
      </w:r>
    </w:p>
    <w:p>
      <w:pPr>
        <w:pStyle w:val="ListBullet"/>
        <w:spacing w:after="60"/>
        <w:ind w:left="360" w:hanging="230"/>
      </w:pPr>
      <w:r>
        <w:t>Audit-record integrity</w:t>
      </w:r>
    </w:p>
    <w:p>
      <w:pPr>
        <w:pStyle w:val="ListBullet"/>
        <w:spacing w:after="60"/>
        <w:ind w:left="360" w:hanging="230"/>
      </w:pPr>
      <w:r>
        <w:t>Environment reconstruction</w:t>
      </w:r>
    </w:p>
    <w:p>
      <w:pPr>
        <w:pStyle w:val="ListBullet"/>
        <w:spacing w:after="60"/>
        <w:ind w:left="360" w:hanging="230"/>
      </w:pPr>
      <w:r>
        <w:t>Disaster-recovery decisions</w:t>
      </w:r>
    </w:p>
    <w:p>
      <w:pPr>
        <w:pStyle w:val="Heading2"/>
      </w:pPr>
      <w:r>
        <w:t>6.18 Environment Governance</w:t>
      </w:r>
    </w:p>
    <w:p>
      <w:r>
        <w:t>Development, test, pilot, and production environments should not become indistinguishable copies that differ only by informal convention.</w:t>
      </w:r>
    </w:p>
    <w:p>
      <w:pPr>
        <w:pStyle w:val="ListBullet"/>
        <w:spacing w:after="60"/>
        <w:ind w:left="360" w:hanging="230"/>
      </w:pPr>
      <w:r>
        <w:t>Parameterized deployments</w:t>
      </w:r>
    </w:p>
    <w:p>
      <w:pPr>
        <w:pStyle w:val="ListBullet"/>
        <w:spacing w:after="60"/>
        <w:ind w:left="360" w:hanging="230"/>
      </w:pPr>
      <w:r>
        <w:t>Naming conventions</w:t>
      </w:r>
    </w:p>
    <w:p>
      <w:pPr>
        <w:pStyle w:val="ListBullet"/>
        <w:spacing w:after="60"/>
        <w:ind w:left="360" w:hanging="230"/>
      </w:pPr>
      <w:r>
        <w:t>Ownership metadata</w:t>
      </w:r>
    </w:p>
    <w:p>
      <w:pPr>
        <w:pStyle w:val="ListBullet"/>
        <w:spacing w:after="60"/>
        <w:ind w:left="360" w:hanging="230"/>
      </w:pPr>
      <w:r>
        <w:t>Tags</w:t>
      </w:r>
    </w:p>
    <w:p>
      <w:pPr>
        <w:pStyle w:val="ListBullet"/>
        <w:spacing w:after="60"/>
        <w:ind w:left="360" w:hanging="230"/>
      </w:pPr>
      <w:r>
        <w:t>Policy baseline</w:t>
      </w:r>
    </w:p>
    <w:p>
      <w:pPr>
        <w:pStyle w:val="ListBullet"/>
        <w:spacing w:after="60"/>
        <w:ind w:left="360" w:hanging="230"/>
      </w:pPr>
      <w:r>
        <w:t>Resource locks where appropriate</w:t>
      </w:r>
    </w:p>
    <w:p>
      <w:pPr>
        <w:pStyle w:val="ListBullet"/>
        <w:spacing w:after="60"/>
        <w:ind w:left="360" w:hanging="230"/>
      </w:pPr>
      <w:r>
        <w:t>Deployment approvals</w:t>
      </w:r>
    </w:p>
    <w:p>
      <w:pPr>
        <w:pStyle w:val="ListBullet"/>
        <w:spacing w:after="60"/>
        <w:ind w:left="360" w:hanging="230"/>
      </w:pPr>
      <w:r>
        <w:t>Role separation</w:t>
      </w:r>
    </w:p>
    <w:p>
      <w:pPr>
        <w:pStyle w:val="ListBullet"/>
        <w:spacing w:after="60"/>
        <w:ind w:left="360" w:hanging="230"/>
      </w:pPr>
      <w:r>
        <w:t>Test evidence</w:t>
      </w:r>
    </w:p>
    <w:p>
      <w:pPr>
        <w:pStyle w:val="ListBullet"/>
        <w:spacing w:after="60"/>
        <w:ind w:left="360" w:hanging="230"/>
      </w:pPr>
      <w:r>
        <w:t>Change control</w:t>
      </w:r>
    </w:p>
    <w:p>
      <w:pPr>
        <w:pStyle w:val="ListBullet"/>
        <w:spacing w:after="60"/>
        <w:ind w:left="360" w:hanging="230"/>
      </w:pPr>
      <w:r>
        <w:t>Environment-specific configuration</w:t>
      </w:r>
    </w:p>
    <w:p>
      <w:pPr>
        <w:pStyle w:val="Heading2"/>
      </w:pPr>
      <w:r>
        <w:t>6.19 Infrastructure Change Control</w:t>
      </w:r>
    </w:p>
    <w:p>
      <w:r>
        <w:t>Infrastructure as Code provides a foundation for controlled change.</w:t>
      </w:r>
    </w:p>
    <w:p>
      <w:pPr>
        <w:pStyle w:val="ListBullet"/>
        <w:spacing w:after="60"/>
        <w:ind w:left="360" w:hanging="230"/>
      </w:pPr>
      <w:r>
        <w:t>What changed</w:t>
      </w:r>
    </w:p>
    <w:p>
      <w:pPr>
        <w:pStyle w:val="ListBullet"/>
        <w:spacing w:after="60"/>
        <w:ind w:left="360" w:hanging="230"/>
      </w:pPr>
      <w:r>
        <w:t>Which resource changed</w:t>
      </w:r>
    </w:p>
    <w:p>
      <w:pPr>
        <w:pStyle w:val="ListBullet"/>
        <w:spacing w:after="60"/>
        <w:ind w:left="360" w:hanging="230"/>
      </w:pPr>
      <w:r>
        <w:t>Which property changed</w:t>
      </w:r>
    </w:p>
    <w:p>
      <w:pPr>
        <w:pStyle w:val="ListBullet"/>
        <w:spacing w:after="60"/>
        <w:ind w:left="360" w:hanging="230"/>
      </w:pPr>
      <w:r>
        <w:t>When it changed</w:t>
      </w:r>
    </w:p>
    <w:p>
      <w:pPr>
        <w:pStyle w:val="ListBullet"/>
        <w:spacing w:after="60"/>
        <w:ind w:left="360" w:hanging="230"/>
      </w:pPr>
      <w:r>
        <w:t>Who approved it</w:t>
      </w:r>
    </w:p>
    <w:p>
      <w:pPr>
        <w:pStyle w:val="ListBullet"/>
        <w:spacing w:after="60"/>
        <w:ind w:left="360" w:hanging="230"/>
      </w:pPr>
      <w:r>
        <w:t>Whether tests passed afterward</w:t>
      </w:r>
    </w:p>
    <w:p>
      <w:pPr>
        <w:pStyle w:val="Heading2"/>
      </w:pPr>
      <w:r>
        <w:t>6.20 Security Validation</w:t>
      </w:r>
    </w:p>
    <w:p>
      <w:r>
        <w:t>DRE’s intended security posture should be supported by evidence.</w:t>
      </w:r>
    </w:p>
    <w:p>
      <w:pPr>
        <w:pStyle w:val="ListBullet"/>
        <w:spacing w:after="60"/>
        <w:ind w:left="360" w:hanging="230"/>
      </w:pPr>
      <w:r>
        <w:t>1. Static infrastructure checks</w:t>
      </w:r>
    </w:p>
    <w:p>
      <w:pPr>
        <w:pStyle w:val="ListBullet"/>
        <w:spacing w:after="60"/>
        <w:ind w:left="360" w:hanging="230"/>
      </w:pPr>
      <w:r>
        <w:t>2. Controlled deployment</w:t>
      </w:r>
    </w:p>
    <w:p>
      <w:pPr>
        <w:pStyle w:val="ListBullet"/>
        <w:spacing w:after="60"/>
        <w:ind w:left="360" w:hanging="230"/>
      </w:pPr>
      <w:r>
        <w:t>3. Configuration assertions</w:t>
      </w:r>
    </w:p>
    <w:p>
      <w:pPr>
        <w:pStyle w:val="ListBullet"/>
        <w:spacing w:after="60"/>
        <w:ind w:left="360" w:hanging="230"/>
      </w:pPr>
      <w:r>
        <w:t>4. Connectivity testing</w:t>
      </w:r>
    </w:p>
    <w:p>
      <w:pPr>
        <w:pStyle w:val="ListBullet"/>
        <w:spacing w:after="60"/>
        <w:ind w:left="360" w:hanging="230"/>
      </w:pPr>
      <w:r>
        <w:t>5. Data/service testing</w:t>
      </w:r>
    </w:p>
    <w:p>
      <w:pPr>
        <w:pStyle w:val="ListBullet"/>
        <w:spacing w:after="60"/>
        <w:ind w:left="360" w:hanging="230"/>
      </w:pPr>
      <w:r>
        <w:t>6. Negative security testing</w:t>
      </w:r>
    </w:p>
    <w:p>
      <w:pPr>
        <w:pStyle w:val="ListBullet"/>
        <w:spacing w:after="60"/>
        <w:ind w:left="360" w:hanging="230"/>
      </w:pPr>
      <w:r>
        <w:t>7. Evidence capture</w:t>
      </w:r>
    </w:p>
    <w:p>
      <w:pPr>
        <w:pStyle w:val="ListBullet"/>
        <w:spacing w:after="60"/>
        <w:ind w:left="360" w:hanging="230"/>
      </w:pPr>
      <w:r>
        <w:t>8. Cleanup and repeatability verification</w:t>
      </w:r>
    </w:p>
    <w:p>
      <w:r>
        <w:t>Especially important is negative validation.</w:t>
      </w:r>
    </w:p>
    <w:p>
      <w:r>
        <w:t>It is not enough to prove that an approved application can reach Azure OpenAI or Cosmos DB.</w:t>
      </w:r>
    </w:p>
    <w:p>
      <w:r>
        <w:t>The completed environment should also prove that the paths which are supposed to be prohibited actually fail.</w:t>
      </w:r>
    </w:p>
    <w:p>
      <w:r>
        <w:t>That turns architectural intent into testable security behavior.</w:t>
      </w:r>
    </w:p>
    <w:p>
      <w:pPr>
        <w:pStyle w:val="Heading2"/>
      </w:pPr>
      <w:r>
        <w:t>6.21 Governance Documentation</w:t>
      </w:r>
    </w:p>
    <w:p>
      <w:r>
        <w:t>The production system will require governance documentation that travels with the technical implementation.</w:t>
      </w:r>
    </w:p>
    <w:p>
      <w:pPr>
        <w:pStyle w:val="ListBullet"/>
        <w:spacing w:after="60"/>
        <w:ind w:left="360" w:hanging="230"/>
      </w:pPr>
      <w:r>
        <w:t>Deployment</w:t>
      </w:r>
    </w:p>
    <w:p>
      <w:pPr>
        <w:pStyle w:val="ListBullet"/>
        <w:spacing w:after="60"/>
        <w:ind w:left="360" w:hanging="230"/>
      </w:pPr>
      <w:r>
        <w:t>Identity administration</w:t>
      </w:r>
    </w:p>
    <w:p>
      <w:pPr>
        <w:pStyle w:val="ListBullet"/>
        <w:spacing w:after="60"/>
        <w:ind w:left="360" w:hanging="230"/>
      </w:pPr>
      <w:r>
        <w:t>Access approval</w:t>
      </w:r>
    </w:p>
    <w:p>
      <w:pPr>
        <w:pStyle w:val="ListBullet"/>
        <w:spacing w:after="60"/>
        <w:ind w:left="360" w:hanging="230"/>
      </w:pPr>
      <w:r>
        <w:t>Policy configuration</w:t>
      </w:r>
    </w:p>
    <w:p>
      <w:pPr>
        <w:pStyle w:val="ListBullet"/>
        <w:spacing w:after="60"/>
        <w:ind w:left="360" w:hanging="230"/>
      </w:pPr>
      <w:r>
        <w:t>OCG/rule changes</w:t>
      </w:r>
    </w:p>
    <w:p>
      <w:pPr>
        <w:pStyle w:val="ListBullet"/>
        <w:spacing w:after="60"/>
        <w:ind w:left="360" w:hanging="230"/>
      </w:pPr>
      <w:r>
        <w:t>Security monitoring</w:t>
      </w:r>
    </w:p>
    <w:p>
      <w:pPr>
        <w:pStyle w:val="ListBullet"/>
        <w:spacing w:after="60"/>
        <w:ind w:left="360" w:hanging="230"/>
      </w:pPr>
      <w:r>
        <w:t>Incident response</w:t>
      </w:r>
    </w:p>
    <w:p>
      <w:pPr>
        <w:pStyle w:val="ListBullet"/>
        <w:spacing w:after="60"/>
        <w:ind w:left="360" w:hanging="230"/>
      </w:pPr>
      <w:r>
        <w:t>Retention</w:t>
      </w:r>
    </w:p>
    <w:p>
      <w:pPr>
        <w:pStyle w:val="ListBullet"/>
        <w:spacing w:after="60"/>
        <w:ind w:left="360" w:hanging="230"/>
      </w:pPr>
      <w:r>
        <w:t>Recovery</w:t>
      </w:r>
    </w:p>
    <w:p>
      <w:pPr>
        <w:pStyle w:val="ListBullet"/>
        <w:spacing w:after="60"/>
        <w:ind w:left="360" w:hanging="230"/>
      </w:pPr>
      <w:r>
        <w:t>Human-review authority</w:t>
      </w:r>
    </w:p>
    <w:p>
      <w:pPr>
        <w:pStyle w:val="ListBullet"/>
        <w:spacing w:after="60"/>
        <w:ind w:left="360" w:hanging="230"/>
      </w:pPr>
      <w:r>
        <w:t>Infrastructure changes</w:t>
      </w:r>
    </w:p>
    <w:p>
      <w:pPr>
        <w:pStyle w:val="ListBullet"/>
        <w:spacing w:after="60"/>
        <w:ind w:left="360" w:hanging="230"/>
      </w:pPr>
      <w:r>
        <w:t>Model configuration</w:t>
      </w:r>
    </w:p>
    <w:p>
      <w:pPr>
        <w:pStyle w:val="ListBullet"/>
        <w:spacing w:after="60"/>
        <w:ind w:left="360" w:hanging="230"/>
      </w:pPr>
      <w:r>
        <w:t>Audit review</w:t>
      </w:r>
    </w:p>
    <w:p>
      <w:pPr>
        <w:pStyle w:val="ListBullet"/>
        <w:spacing w:after="60"/>
        <w:ind w:left="360" w:hanging="230"/>
      </w:pPr>
      <w:r>
        <w:t>Customer responsibilities</w:t>
      </w:r>
    </w:p>
    <w:p>
      <w:pPr>
        <w:pStyle w:val="ListBullet"/>
        <w:spacing w:after="60"/>
        <w:ind w:left="360" w:hanging="230"/>
      </w:pPr>
      <w:r>
        <w:t>Engineered Launch responsibilities</w:t>
      </w:r>
    </w:p>
    <w:p>
      <w:pPr>
        <w:pStyle w:val="Heading2"/>
      </w:pPr>
      <w:r>
        <w:t>6.22 Customer Governance</w:t>
      </w:r>
    </w:p>
    <w:p>
      <w:r>
        <w:t>Customer-owned Azure deployment creates an important governance relationship.</w:t>
      </w:r>
    </w:p>
    <w:p>
      <w:pPr>
        <w:pStyle w:val="ListBullet"/>
        <w:spacing w:after="60"/>
        <w:ind w:left="360" w:hanging="230"/>
      </w:pPr>
      <w:r>
        <w:t>Subscription/resource ownership</w:t>
      </w:r>
    </w:p>
    <w:p>
      <w:pPr>
        <w:pStyle w:val="ListBullet"/>
        <w:spacing w:after="60"/>
        <w:ind w:left="360" w:hanging="230"/>
      </w:pPr>
      <w:r>
        <w:t>Network configuration</w:t>
      </w:r>
    </w:p>
    <w:p>
      <w:pPr>
        <w:pStyle w:val="ListBullet"/>
        <w:spacing w:after="60"/>
        <w:ind w:left="360" w:hanging="230"/>
      </w:pPr>
      <w:r>
        <w:t>Identities</w:t>
      </w:r>
    </w:p>
    <w:p>
      <w:pPr>
        <w:pStyle w:val="ListBullet"/>
        <w:spacing w:after="60"/>
        <w:ind w:left="360" w:hanging="230"/>
      </w:pPr>
      <w:r>
        <w:t>Administrative permissions</w:t>
      </w:r>
    </w:p>
    <w:p>
      <w:pPr>
        <w:pStyle w:val="ListBullet"/>
        <w:spacing w:after="60"/>
        <w:ind w:left="360" w:hanging="230"/>
      </w:pPr>
      <w:r>
        <w:t>Keys</w:t>
      </w:r>
    </w:p>
    <w:p>
      <w:pPr>
        <w:pStyle w:val="ListBullet"/>
        <w:spacing w:after="60"/>
        <w:ind w:left="360" w:hanging="230"/>
      </w:pPr>
      <w:r>
        <w:t>Logs</w:t>
      </w:r>
    </w:p>
    <w:p>
      <w:pPr>
        <w:pStyle w:val="ListBullet"/>
        <w:spacing w:after="60"/>
        <w:ind w:left="360" w:hanging="230"/>
      </w:pPr>
      <w:r>
        <w:t>Retention</w:t>
      </w:r>
    </w:p>
    <w:p>
      <w:pPr>
        <w:pStyle w:val="ListBullet"/>
        <w:spacing w:after="60"/>
        <w:ind w:left="360" w:hanging="230"/>
      </w:pPr>
      <w:r>
        <w:t>Security policies</w:t>
      </w:r>
    </w:p>
    <w:p>
      <w:pPr>
        <w:pStyle w:val="ListBullet"/>
        <w:spacing w:after="60"/>
        <w:ind w:left="360" w:hanging="230"/>
      </w:pPr>
      <w:r>
        <w:t>Deployment updates</w:t>
      </w:r>
    </w:p>
    <w:p>
      <w:pPr>
        <w:pStyle w:val="ListBullet"/>
        <w:spacing w:after="60"/>
        <w:ind w:left="360" w:hanging="230"/>
      </w:pPr>
      <w:r>
        <w:t>Application configuration</w:t>
      </w:r>
    </w:p>
    <w:p>
      <w:pPr>
        <w:pStyle w:val="ListBullet"/>
        <w:spacing w:after="60"/>
        <w:ind w:left="360" w:hanging="230"/>
      </w:pPr>
      <w:r>
        <w:t>OCG/policy configuration</w:t>
      </w:r>
    </w:p>
    <w:p>
      <w:pPr>
        <w:pStyle w:val="ListBullet"/>
        <w:spacing w:after="60"/>
        <w:ind w:left="360" w:hanging="230"/>
      </w:pPr>
      <w:r>
        <w:t>Human-review authorization</w:t>
      </w:r>
    </w:p>
    <w:p>
      <w:pPr>
        <w:pStyle w:val="Heading2"/>
      </w:pPr>
      <w:r>
        <w:t>6.23 Current Security Controls vs. Intended Security Controls</w:t>
      </w:r>
    </w:p>
    <w:p>
      <w:r>
        <w:t>The current documented Azure foundation establishes:</w:t>
      </w:r>
    </w:p>
    <w:p>
      <w:pPr>
        <w:pStyle w:val="ListBullet"/>
        <w:spacing w:after="60"/>
        <w:ind w:left="360" w:hanging="230"/>
      </w:pPr>
      <w:r>
        <w:t>Declarative Bicep infrastructure</w:t>
      </w:r>
    </w:p>
    <w:p>
      <w:pPr>
        <w:pStyle w:val="ListBullet"/>
        <w:spacing w:after="60"/>
        <w:ind w:left="360" w:hanging="230"/>
      </w:pPr>
      <w:r>
        <w:t>Repeatable resource naming and location</w:t>
      </w:r>
    </w:p>
    <w:p>
      <w:pPr>
        <w:pStyle w:val="ListBullet"/>
        <w:spacing w:after="60"/>
        <w:ind w:left="360" w:hanging="230"/>
      </w:pPr>
      <w:r>
        <w:t>Virtual Network</w:t>
      </w:r>
    </w:p>
    <w:p>
      <w:pPr>
        <w:pStyle w:val="ListBullet"/>
        <w:spacing w:after="60"/>
        <w:ind w:left="360" w:hanging="230"/>
      </w:pPr>
      <w:r>
        <w:t>Application subnet</w:t>
      </w:r>
    </w:p>
    <w:p>
      <w:pPr>
        <w:pStyle w:val="ListBullet"/>
        <w:spacing w:after="60"/>
        <w:ind w:left="360" w:hanging="230"/>
      </w:pPr>
      <w:r>
        <w:t>Azure Key Vault resource</w:t>
      </w:r>
    </w:p>
    <w:p>
      <w:pPr>
        <w:pStyle w:val="ListBullet"/>
        <w:spacing w:after="60"/>
        <w:ind w:left="360" w:hanging="230"/>
      </w:pPr>
      <w:r>
        <w:t>Azure Cosmos DB account</w:t>
      </w:r>
    </w:p>
    <w:p>
      <w:pPr>
        <w:pStyle w:val="ListBullet"/>
        <w:spacing w:after="60"/>
        <w:ind w:left="360" w:hanging="230"/>
      </w:pPr>
      <w:r>
        <w:t>Azure OpenAI account</w:t>
      </w:r>
    </w:p>
    <w:p>
      <w:pPr>
        <w:pStyle w:val="ListBullet"/>
        <w:spacing w:after="60"/>
        <w:ind w:left="360" w:hanging="230"/>
      </w:pPr>
      <w:r>
        <w:t>Azure OpenAI public network access disabled</w:t>
      </w:r>
    </w:p>
    <w:p>
      <w:r>
        <w:t>The intended enterprise security architecture adds:</w:t>
      </w:r>
    </w:p>
    <w:p>
      <w:pPr>
        <w:pStyle w:val="ListBullet"/>
        <w:spacing w:after="60"/>
        <w:ind w:left="360" w:hanging="230"/>
      </w:pPr>
      <w:r>
        <w:t>Private endpoints</w:t>
      </w:r>
    </w:p>
    <w:p>
      <w:pPr>
        <w:pStyle w:val="ListBullet"/>
        <w:spacing w:after="60"/>
        <w:ind w:left="360" w:hanging="230"/>
      </w:pPr>
      <w:r>
        <w:t>Private DNS</w:t>
      </w:r>
    </w:p>
    <w:p>
      <w:pPr>
        <w:pStyle w:val="ListBullet"/>
        <w:spacing w:after="60"/>
        <w:ind w:left="360" w:hanging="230"/>
      </w:pPr>
      <w:r>
        <w:t>Application workload isolation</w:t>
      </w:r>
    </w:p>
    <w:p>
      <w:pPr>
        <w:pStyle w:val="ListBullet"/>
        <w:spacing w:after="60"/>
        <w:ind w:left="360" w:hanging="230"/>
      </w:pPr>
      <w:r>
        <w:t>Managed identities</w:t>
      </w:r>
    </w:p>
    <w:p>
      <w:pPr>
        <w:pStyle w:val="ListBullet"/>
        <w:spacing w:after="60"/>
        <w:ind w:left="360" w:hanging="230"/>
      </w:pPr>
      <w:r>
        <w:t>Microsoft Entra ID integration</w:t>
      </w:r>
    </w:p>
    <w:p>
      <w:pPr>
        <w:pStyle w:val="ListBullet"/>
        <w:spacing w:after="60"/>
        <w:ind w:left="360" w:hanging="230"/>
      </w:pPr>
      <w:r>
        <w:t>Least-privilege RBAC</w:t>
      </w:r>
    </w:p>
    <w:p>
      <w:pPr>
        <w:pStyle w:val="ListBullet"/>
        <w:spacing w:after="60"/>
        <w:ind w:left="360" w:hanging="230"/>
      </w:pPr>
      <w:r>
        <w:t>Key Vault authorization</w:t>
      </w:r>
    </w:p>
    <w:p>
      <w:pPr>
        <w:pStyle w:val="ListBullet"/>
        <w:spacing w:after="60"/>
        <w:ind w:left="360" w:hanging="230"/>
      </w:pPr>
      <w:r>
        <w:t>Private Cosmos DB access</w:t>
      </w:r>
    </w:p>
    <w:p>
      <w:pPr>
        <w:pStyle w:val="ListBullet"/>
        <w:spacing w:after="60"/>
        <w:ind w:left="360" w:hanging="230"/>
      </w:pPr>
      <w:r>
        <w:t>Private Azure OpenAI invocation</w:t>
      </w:r>
    </w:p>
    <w:p>
      <w:pPr>
        <w:pStyle w:val="ListBullet"/>
        <w:spacing w:after="60"/>
        <w:ind w:left="360" w:hanging="230"/>
      </w:pPr>
      <w:r>
        <w:t>Model deployment controls</w:t>
      </w:r>
    </w:p>
    <w:p>
      <w:pPr>
        <w:pStyle w:val="ListBullet"/>
        <w:spacing w:after="60"/>
        <w:ind w:left="360" w:hanging="230"/>
      </w:pPr>
      <w:r>
        <w:t>Structured audit persistence</w:t>
      </w:r>
    </w:p>
    <w:p>
      <w:pPr>
        <w:pStyle w:val="ListBullet"/>
        <w:spacing w:after="60"/>
        <w:ind w:left="360" w:hanging="230"/>
      </w:pPr>
      <w:r>
        <w:t>Monitoring and diagnostic settings</w:t>
      </w:r>
    </w:p>
    <w:p>
      <w:pPr>
        <w:pStyle w:val="ListBullet"/>
        <w:spacing w:after="60"/>
        <w:ind w:left="360" w:hanging="230"/>
      </w:pPr>
      <w:r>
        <w:t>Security alerts</w:t>
      </w:r>
    </w:p>
    <w:p>
      <w:pPr>
        <w:pStyle w:val="ListBullet"/>
        <w:spacing w:after="60"/>
        <w:ind w:left="360" w:hanging="230"/>
      </w:pPr>
      <w:r>
        <w:t>Environment separation</w:t>
      </w:r>
    </w:p>
    <w:p>
      <w:pPr>
        <w:pStyle w:val="ListBullet"/>
        <w:spacing w:after="60"/>
        <w:ind w:left="360" w:hanging="230"/>
      </w:pPr>
      <w:r>
        <w:t>Retention controls</w:t>
      </w:r>
    </w:p>
    <w:p>
      <w:pPr>
        <w:pStyle w:val="ListBullet"/>
        <w:spacing w:after="60"/>
        <w:ind w:left="360" w:hanging="230"/>
      </w:pPr>
      <w:r>
        <w:t>Recovery controls</w:t>
      </w:r>
    </w:p>
    <w:p>
      <w:pPr>
        <w:pStyle w:val="ListBullet"/>
        <w:spacing w:after="60"/>
        <w:ind w:left="360" w:hanging="230"/>
      </w:pPr>
      <w:r>
        <w:t>Infrastructure validation</w:t>
      </w:r>
    </w:p>
    <w:p>
      <w:pPr>
        <w:pStyle w:val="ListBullet"/>
        <w:spacing w:after="60"/>
        <w:ind w:left="360" w:hanging="230"/>
      </w:pPr>
      <w:r>
        <w:t>Negative security testing</w:t>
      </w:r>
    </w:p>
    <w:p>
      <w:pPr>
        <w:pStyle w:val="ListBullet"/>
        <w:spacing w:after="60"/>
        <w:ind w:left="360" w:hanging="230"/>
      </w:pPr>
      <w:r>
        <w:t>Documented operating responsibility</w:t>
      </w:r>
    </w:p>
    <w:p>
      <w:r>
        <w:t>The distinction matters because DRE should claim only controls that have actually been implemented and validated. LegalFirewall_Azure_Deployment_Process_Guide 1.docx</w:t>
      </w:r>
    </w:p>
    <w:p>
      <w:pPr>
        <w:pStyle w:val="Heading2"/>
      </w:pPr>
      <w:r>
        <w:t>6.24 Governance Principle</w:t>
      </w:r>
    </w:p>
    <w:p>
      <w:r>
        <w:t>The security and governance model can be summarized as:</w:t>
      </w:r>
    </w:p>
    <w:tbl>
      <w:tblPr>
        <w:tblW w:type="auto" w:w="0"/>
        <w:jc w:val="center"/>
        <w:tblLayout w:type="fixed"/>
        <w:tblLook w:firstColumn="1" w:firstRow="1" w:lastColumn="0" w:lastRow="0" w:noHBand="0" w:noVBand="1" w:val="04A0"/>
      </w:tblPr>
      <w:tblGrid>
        <w:gridCol w:w="173"/>
        <w:gridCol w:w="9475"/>
      </w:tblGrid>
      <w:tr>
        <w:tc>
          <w:tcPr>
            <w:tcW w:type="dxa" w:w="4939"/>
            <w:shd w:fill="2E7D7A"/>
          </w:tcPr>
          <w:p>
            <w:r/>
          </w:p>
        </w:tc>
        <w:tc>
          <w:tcPr>
            <w:tcW w:type="dxa" w:w="4939"/>
            <w:shd w:fill="EAF1F5"/>
            <w:tcMar>
              <w:top w:w="160" w:type="dxa"/>
              <w:start w:w="160" w:type="dxa"/>
              <w:bottom w:w="160" w:type="dxa"/>
              <w:end w:w="160" w:type="dxa"/>
            </w:tcMar>
          </w:tcPr>
          <w:p>
            <w:pPr>
              <w:pStyle w:val="Callout"/>
            </w:pPr>
            <w:r>
              <w:rPr>
                <w:color w:val="2E7D7A"/>
                <w:sz w:val="16"/>
              </w:rPr>
              <w:t>GOVERNANCE PRINCIPLE</w:t>
              <w:br/>
            </w:r>
            <w:r>
              <w:t>Keep the transaction inside a controlled customer environment. Know which identity touched it. Know which rules acted on it. Know when AI was involved. Preserve what the AI said. Preserve what deterministic logic did with it. Preserve what the human decided. Make the infrastructure supporting those events testable and reviewable.</w:t>
            </w:r>
          </w:p>
        </w:tc>
      </w:tr>
    </w:tbl>
    <w:p/>
    <w:p>
      <w:r>
        <w:t>That is the governing boundary DRE is being built toward.</w:t>
      </w:r>
    </w:p>
    <w:p>
      <w:r>
        <w:br w:type="page"/>
      </w:r>
    </w:p>
    <w:p>
      <w:pPr>
        <w:pStyle w:val="Heading1"/>
      </w:pPr>
      <w:r>
        <w:t>7. Validation &amp; Assurance</w:t>
      </w:r>
    </w:p>
    <w:p>
      <w:r>
        <w:t>DRE’s validation model is intended to answer a different question from ordinary software testing:</w:t>
      </w:r>
    </w:p>
    <w:p>
      <w:r>
        <w:t>Can DRE produce repeatable evidence that the system, infrastructure, controls, and transaction-processing paths behave as designed?</w:t>
      </w:r>
    </w:p>
    <w:p>
      <w:r>
        <w:t>The validation program therefore extends beyond testing individual TypeScript functions. It encompasses the deterministic engine, consensus behavior, Azure infrastructure, network controls, identities, storage, failure handling, evidence capture, and ultimately the complete legal-billing transaction path.</w:t>
      </w:r>
    </w:p>
    <w:p>
      <w:r>
        <w:t>The existing runtests_ts documentation establishes an important architectural separation: the infrastructure definition creates the environment; the validation system verifies the environment. That distinction allows failures to be isolated rather than mixing deployment logic and test logic together. DRE_runtests_ts_Relevance_and_Infrastructure_Validation.docx</w:t>
      </w:r>
    </w:p>
    <w:tbl>
      <w:tblPr>
        <w:tblW w:type="auto" w:w="0"/>
        <w:jc w:val="center"/>
        <w:tblLayout w:type="fixed"/>
        <w:tblLook w:firstColumn="1" w:firstRow="1" w:lastColumn="0" w:lastRow="0" w:noHBand="0" w:noVBand="1" w:val="04A0"/>
      </w:tblPr>
      <w:tblGrid>
        <w:gridCol w:w="173"/>
        <w:gridCol w:w="9475"/>
      </w:tblGrid>
      <w:tr>
        <w:tc>
          <w:tcPr>
            <w:tcW w:type="dxa" w:w="4939"/>
            <w:shd w:fill="2E7D7A"/>
          </w:tcPr>
          <w:p>
            <w:r/>
          </w:p>
        </w:tc>
        <w:tc>
          <w:tcPr>
            <w:tcW w:type="dxa" w:w="4939"/>
            <w:shd w:fill="EAF1F5"/>
            <w:tcMar>
              <w:top w:w="160" w:type="dxa"/>
              <w:start w:w="160" w:type="dxa"/>
              <w:bottom w:w="160" w:type="dxa"/>
              <w:end w:w="160" w:type="dxa"/>
            </w:tcMar>
          </w:tcPr>
          <w:p>
            <w:pPr>
              <w:pStyle w:val="Callout"/>
            </w:pPr>
            <w:r>
              <w:rPr>
                <w:color w:val="2E7D7A"/>
                <w:sz w:val="16"/>
              </w:rPr>
              <w:t>VALIDATION QUESTION</w:t>
              <w:br/>
            </w:r>
            <w:r>
              <w:t>Can DRE produce repeatable evidence that the system, infrastructure, controls, and transaction-processing paths behave as designed?</w:t>
            </w:r>
          </w:p>
        </w:tc>
      </w:tr>
    </w:tbl>
    <w:p/>
    <w:p>
      <w:pPr>
        <w:pStyle w:val="Heading2"/>
      </w:pPr>
      <w:r>
        <w:t>7.1 Validation Philosophy</w:t>
      </w:r>
    </w:p>
    <w:p>
      <w:r>
        <w:t>DRE should progressively replace architectural assertions with observable evidence.</w:t>
      </w:r>
    </w:p>
    <w:p>
      <w:pPr>
        <w:pStyle w:val="ListBullet"/>
        <w:spacing w:after="60"/>
        <w:ind w:left="360" w:hanging="230"/>
      </w:pPr>
      <w:r>
        <w:t>Public network access is disabled.</w:t>
      </w:r>
    </w:p>
    <w:p>
      <w:pPr>
        <w:pStyle w:val="ListBullet"/>
        <w:spacing w:after="60"/>
        <w:ind w:left="360" w:hanging="230"/>
      </w:pPr>
      <w:r>
        <w:t>The intended private endpoint exists.</w:t>
      </w:r>
    </w:p>
    <w:p>
      <w:pPr>
        <w:pStyle w:val="ListBullet"/>
        <w:spacing w:after="60"/>
        <w:ind w:left="360" w:hanging="230"/>
      </w:pPr>
      <w:r>
        <w:t>Private DNS resolves correctly.</w:t>
      </w:r>
    </w:p>
    <w:p>
      <w:pPr>
        <w:pStyle w:val="ListBullet"/>
        <w:spacing w:after="60"/>
        <w:ind w:left="360" w:hanging="230"/>
      </w:pPr>
      <w:r>
        <w:t>An authorized DRE workload can invoke the approved model.</w:t>
      </w:r>
    </w:p>
    <w:p>
      <w:pPr>
        <w:pStyle w:val="ListBullet"/>
        <w:spacing w:after="60"/>
        <w:ind w:left="360" w:hanging="230"/>
      </w:pPr>
      <w:r>
        <w:t>An unauthorized or public path cannot.</w:t>
      </w:r>
    </w:p>
    <w:p>
      <w:pPr>
        <w:pStyle w:val="ListBullet"/>
        <w:spacing w:after="60"/>
        <w:ind w:left="360" w:hanging="230"/>
      </w:pPr>
      <w:r>
        <w:t>The result is captured in a repeatable test record.</w:t>
      </w:r>
    </w:p>
    <w:p>
      <w:r>
        <w:t>The second form is the assurance standard DRE is moving toward.</w:t>
      </w:r>
    </w:p>
    <w:p>
      <w:r>
        <w:t>Validation therefore serves several purposes simultaneously:</w:t>
      </w:r>
    </w:p>
    <w:p>
      <w:pPr>
        <w:pStyle w:val="ListBullet"/>
        <w:spacing w:after="60"/>
        <w:ind w:left="360" w:hanging="230"/>
      </w:pPr>
      <w:r>
        <w:t>Product correctness</w:t>
      </w:r>
    </w:p>
    <w:p>
      <w:pPr>
        <w:pStyle w:val="ListBullet"/>
        <w:spacing w:after="60"/>
        <w:ind w:left="360" w:hanging="230"/>
      </w:pPr>
      <w:r>
        <w:t>Infrastructure correctness</w:t>
      </w:r>
    </w:p>
    <w:p>
      <w:pPr>
        <w:pStyle w:val="ListBullet"/>
        <w:spacing w:after="60"/>
        <w:ind w:left="360" w:hanging="230"/>
      </w:pPr>
      <w:r>
        <w:t>Security evidence</w:t>
      </w:r>
    </w:p>
    <w:p>
      <w:pPr>
        <w:pStyle w:val="ListBullet"/>
        <w:spacing w:after="60"/>
        <w:ind w:left="360" w:hanging="230"/>
      </w:pPr>
      <w:r>
        <w:t>Change detection</w:t>
      </w:r>
    </w:p>
    <w:p>
      <w:pPr>
        <w:pStyle w:val="ListBullet"/>
        <w:spacing w:after="60"/>
        <w:ind w:left="360" w:hanging="230"/>
      </w:pPr>
      <w:r>
        <w:t>Troubleshooting</w:t>
      </w:r>
    </w:p>
    <w:p>
      <w:pPr>
        <w:pStyle w:val="ListBullet"/>
        <w:spacing w:after="60"/>
        <w:ind w:left="360" w:hanging="230"/>
      </w:pPr>
      <w:r>
        <w:t>Auditability</w:t>
      </w:r>
    </w:p>
    <w:p>
      <w:pPr>
        <w:pStyle w:val="ListBullet"/>
        <w:spacing w:after="60"/>
        <w:ind w:left="360" w:hanging="230"/>
      </w:pPr>
      <w:r>
        <w:t>Deployment confidence</w:t>
      </w:r>
    </w:p>
    <w:p>
      <w:pPr>
        <w:pStyle w:val="ListBullet"/>
        <w:spacing w:after="60"/>
        <w:ind w:left="360" w:hanging="230"/>
      </w:pPr>
      <w:r>
        <w:t>Customer and investor claim discipline</w:t>
      </w:r>
    </w:p>
    <w:p>
      <w:pPr>
        <w:pStyle w:val="Heading2"/>
      </w:pPr>
      <w:r>
        <w:t>7.2 Static Validation</w:t>
      </w:r>
    </w:p>
    <w:p>
      <w:r>
        <w:t>Validation begins before Azure resources are deployed.</w:t>
      </w:r>
    </w:p>
    <w:p>
      <w:pPr>
        <w:pStyle w:val="ListBullet"/>
        <w:spacing w:after="60"/>
        <w:ind w:left="360" w:hanging="230"/>
      </w:pPr>
      <w:r>
        <w:t>Deployment location resolves correctly.</w:t>
      </w:r>
    </w:p>
    <w:p>
      <w:pPr>
        <w:pStyle w:val="ListBullet"/>
        <w:spacing w:after="60"/>
        <w:ind w:left="360" w:hanging="230"/>
      </w:pPr>
      <w:r>
        <w:t>Naming follows the declared legalfirewall convention.</w:t>
      </w:r>
    </w:p>
    <w:p>
      <w:pPr>
        <w:pStyle w:val="ListBullet"/>
        <w:spacing w:after="60"/>
        <w:ind w:left="360" w:hanging="230"/>
      </w:pPr>
      <w:r>
        <w:t>Required Azure resources are represented.</w:t>
      </w:r>
    </w:p>
    <w:p>
      <w:pPr>
        <w:pStyle w:val="ListBullet"/>
        <w:spacing w:after="60"/>
        <w:ind w:left="360" w:hanging="230"/>
      </w:pPr>
      <w:r>
        <w:t>Network address definitions are valid.</w:t>
      </w:r>
    </w:p>
    <w:p>
      <w:pPr>
        <w:pStyle w:val="ListBullet"/>
        <w:spacing w:after="60"/>
        <w:ind w:left="360" w:hanging="230"/>
      </w:pPr>
      <w:r>
        <w:t>Resource declarations compile.</w:t>
      </w:r>
    </w:p>
    <w:p>
      <w:pPr>
        <w:pStyle w:val="ListBullet"/>
        <w:spacing w:after="60"/>
        <w:ind w:left="360" w:hanging="230"/>
      </w:pPr>
      <w:r>
        <w:t>Required parameters resolve.</w:t>
      </w:r>
    </w:p>
    <w:p>
      <w:pPr>
        <w:pStyle w:val="Heading2"/>
      </w:pPr>
      <w:r>
        <w:t>7.3 Controlled Test Deployment</w:t>
      </w:r>
    </w:p>
    <w:p>
      <w:r>
        <w:t>After static validation, the infrastructure can be deployed into an authorized test resource group.</w:t>
      </w:r>
    </w:p>
    <w:p>
      <w:pPr>
        <w:pStyle w:val="ListBullet"/>
        <w:spacing w:after="60"/>
        <w:ind w:left="360" w:hanging="230"/>
      </w:pPr>
      <w:r>
        <w:t>Azure Virtual Network</w:t>
      </w:r>
    </w:p>
    <w:p>
      <w:pPr>
        <w:pStyle w:val="ListBullet"/>
        <w:spacing w:after="60"/>
        <w:ind w:left="360" w:hanging="230"/>
      </w:pPr>
      <w:r>
        <w:t>AppSubnet</w:t>
      </w:r>
    </w:p>
    <w:p>
      <w:pPr>
        <w:pStyle w:val="ListBullet"/>
        <w:spacing w:after="60"/>
        <w:ind w:left="360" w:hanging="230"/>
      </w:pPr>
      <w:r>
        <w:t>Azure Key Vault</w:t>
      </w:r>
    </w:p>
    <w:p>
      <w:pPr>
        <w:pStyle w:val="ListBullet"/>
        <w:spacing w:after="60"/>
        <w:ind w:left="360" w:hanging="230"/>
      </w:pPr>
      <w:r>
        <w:t>Azure Cosmos DB account</w:t>
      </w:r>
    </w:p>
    <w:p>
      <w:pPr>
        <w:pStyle w:val="ListBullet"/>
        <w:spacing w:after="60"/>
        <w:ind w:left="360" w:hanging="230"/>
      </w:pPr>
      <w:r>
        <w:t>Azure OpenAI account</w:t>
      </w:r>
    </w:p>
    <w:p>
      <w:pPr>
        <w:pStyle w:val="Heading2"/>
      </w:pPr>
      <w:r>
        <w:t>7.4 Infrastructure Contract Assertions</w:t>
      </w:r>
    </w:p>
    <w:p>
      <w:r>
        <w:t>Once deployed, the test system should inspect Azure resource properties and compare them with the expected infrastructure contract.</w:t>
      </w:r>
    </w:p>
    <w:p>
      <w:pPr>
        <w:pStyle w:val="ListBullet"/>
        <w:spacing w:after="60"/>
        <w:ind w:left="360" w:hanging="230"/>
      </w:pPr>
      <w:r>
        <w:t>Virtual Network: Address space is 10.0.0.0/16; AppSubnet exists; AppSubnet uses 10.0.1.0/24.</w:t>
      </w:r>
    </w:p>
    <w:p>
      <w:pPr>
        <w:pStyle w:val="ListBullet"/>
        <w:spacing w:after="60"/>
        <w:ind w:left="360" w:hanging="230"/>
      </w:pPr>
      <w:r>
        <w:t>Key Vault: Vault exists; Standard SKU is provisioned; deployment-related flags match the declared infrastructure.</w:t>
      </w:r>
    </w:p>
    <w:p>
      <w:pPr>
        <w:pStyle w:val="ListBullet"/>
        <w:spacing w:after="60"/>
        <w:ind w:left="360" w:hanging="230"/>
      </w:pPr>
      <w:r>
        <w:t>Cosmos DB: Account exists; account type is GlobalDocumentDB; Standard offer type is configured; primary location corresponds to the selected deployment region.</w:t>
      </w:r>
    </w:p>
    <w:p>
      <w:pPr>
        <w:pStyle w:val="ListBullet"/>
        <w:spacing w:after="60"/>
        <w:ind w:left="360" w:hanging="230"/>
      </w:pPr>
      <w:r>
        <w:t>Azure OpenAI: Account exists; S0 SKU is configured; custom subdomain is established; publicNetworkAccess equals Disabled.</w:t>
      </w:r>
    </w:p>
    <w:p>
      <w:pPr>
        <w:pStyle w:val="Heading2"/>
      </w:pPr>
      <w:r>
        <w:t>7.5 Network Validation</w:t>
      </w:r>
    </w:p>
    <w:p>
      <w:r>
        <w:t>As private networking is completed, DRE requires validation of both intended reachability and intended isolation.</w:t>
      </w:r>
    </w:p>
    <w:p>
      <w:pPr>
        <w:pStyle w:val="ListBullet"/>
        <w:spacing w:after="60"/>
        <w:ind w:left="360" w:hanging="230"/>
      </w:pPr>
      <w:r>
        <w:t>Private endpoints exist where required.</w:t>
      </w:r>
    </w:p>
    <w:p>
      <w:pPr>
        <w:pStyle w:val="ListBullet"/>
        <w:spacing w:after="60"/>
        <w:ind w:left="360" w:hanging="230"/>
      </w:pPr>
      <w:r>
        <w:t>Private DNS zones are configured.</w:t>
      </w:r>
    </w:p>
    <w:p>
      <w:pPr>
        <w:pStyle w:val="ListBullet"/>
        <w:spacing w:after="60"/>
        <w:ind w:left="360" w:hanging="230"/>
      </w:pPr>
      <w:r>
        <w:t>DNS links are correct.</w:t>
      </w:r>
    </w:p>
    <w:p>
      <w:pPr>
        <w:pStyle w:val="ListBullet"/>
        <w:spacing w:after="60"/>
        <w:ind w:left="360" w:hanging="230"/>
      </w:pPr>
      <w:r>
        <w:t>Approved services resolve to intended private addresses.</w:t>
      </w:r>
    </w:p>
    <w:p>
      <w:pPr>
        <w:pStyle w:val="ListBullet"/>
        <w:spacing w:after="60"/>
        <w:ind w:left="360" w:hanging="230"/>
      </w:pPr>
      <w:r>
        <w:t>Approved workloads can reach required services.</w:t>
      </w:r>
    </w:p>
    <w:p>
      <w:pPr>
        <w:pStyle w:val="ListBullet"/>
        <w:spacing w:after="60"/>
        <w:ind w:left="360" w:hanging="230"/>
      </w:pPr>
      <w:r>
        <w:t>Routing follows the intended network path.</w:t>
      </w:r>
    </w:p>
    <w:p>
      <w:pPr>
        <w:pStyle w:val="ListBullet"/>
        <w:spacing w:after="60"/>
        <w:ind w:left="360" w:hanging="230"/>
      </w:pPr>
      <w:r>
        <w:t>Unapproved public paths fail.</w:t>
      </w:r>
    </w:p>
    <w:p>
      <w:pPr>
        <w:pStyle w:val="ListBullet"/>
        <w:spacing w:after="60"/>
        <w:ind w:left="360" w:hanging="230"/>
      </w:pPr>
      <w:r>
        <w:t>Unauthorized workloads cannot reach protected services.</w:t>
      </w:r>
    </w:p>
    <w:tbl>
      <w:tblPr>
        <w:tblW w:type="auto" w:w="0"/>
        <w:jc w:val="center"/>
        <w:tblLayout w:type="fixed"/>
        <w:tblLook w:firstColumn="1" w:firstRow="1" w:lastColumn="0" w:lastRow="0" w:noHBand="0" w:noVBand="1" w:val="04A0"/>
      </w:tblPr>
      <w:tblGrid>
        <w:gridCol w:w="173"/>
        <w:gridCol w:w="9475"/>
      </w:tblGrid>
      <w:tr>
        <w:tc>
          <w:tcPr>
            <w:tcW w:type="dxa" w:w="4939"/>
            <w:shd w:fill="2E7D7A"/>
          </w:tcPr>
          <w:p>
            <w:r/>
          </w:p>
        </w:tc>
        <w:tc>
          <w:tcPr>
            <w:tcW w:type="dxa" w:w="4939"/>
            <w:shd w:fill="EAF1F5"/>
            <w:tcMar>
              <w:top w:w="160" w:type="dxa"/>
              <w:start w:w="160" w:type="dxa"/>
              <w:bottom w:w="160" w:type="dxa"/>
              <w:end w:w="160" w:type="dxa"/>
            </w:tcMar>
          </w:tcPr>
          <w:p>
            <w:pPr>
              <w:pStyle w:val="Callout"/>
            </w:pPr>
            <w:r>
              <w:rPr>
                <w:color w:val="2E7D7A"/>
                <w:sz w:val="16"/>
              </w:rPr>
              <w:t>NETWORK VALIDATION STANDARD</w:t>
              <w:br/>
            </w:r>
            <w:r>
              <w:t>The approved path works. The prohibited path does not.</w:t>
            </w:r>
          </w:p>
        </w:tc>
      </w:tr>
    </w:tbl>
    <w:p/>
    <w:p>
      <w:pPr>
        <w:pStyle w:val="Heading2"/>
      </w:pPr>
      <w:r>
        <w:t>7.6 Identity and Authorization Validation</w:t>
      </w:r>
    </w:p>
    <w:p>
      <w:r>
        <w:t>As managed identities and RBAC are implemented, DRE’s validation program must establish that identities possess the permissions they require—and not permissions they should not have.</w:t>
      </w:r>
    </w:p>
    <w:p>
      <w:pPr>
        <w:pStyle w:val="ListBullet"/>
        <w:spacing w:after="60"/>
        <w:ind w:left="360" w:hanging="230"/>
      </w:pPr>
      <w:r>
        <w:t>Application workload can access its required services.</w:t>
      </w:r>
    </w:p>
    <w:p>
      <w:pPr>
        <w:pStyle w:val="ListBullet"/>
        <w:spacing w:after="60"/>
        <w:ind w:left="360" w:hanging="230"/>
      </w:pPr>
      <w:r>
        <w:t>Application workload cannot administer unrelated Azure resources.</w:t>
      </w:r>
    </w:p>
    <w:p>
      <w:pPr>
        <w:pStyle w:val="ListBullet"/>
        <w:spacing w:after="60"/>
        <w:ind w:left="360" w:hanging="230"/>
      </w:pPr>
      <w:r>
        <w:t>Deployment identity can perform authorized deployment actions.</w:t>
      </w:r>
    </w:p>
    <w:p>
      <w:pPr>
        <w:pStyle w:val="ListBullet"/>
        <w:spacing w:after="60"/>
        <w:ind w:left="360" w:hanging="230"/>
      </w:pPr>
      <w:r>
        <w:t>Unauthorized identity cannot retrieve protected secrets.</w:t>
      </w:r>
    </w:p>
    <w:p>
      <w:pPr>
        <w:pStyle w:val="ListBullet"/>
        <w:spacing w:after="60"/>
        <w:ind w:left="360" w:hanging="230"/>
      </w:pPr>
      <w:r>
        <w:t>Authorized application identity can access required Key Vault material.</w:t>
      </w:r>
    </w:p>
    <w:p>
      <w:pPr>
        <w:pStyle w:val="ListBullet"/>
        <w:spacing w:after="60"/>
        <w:ind w:left="360" w:hanging="230"/>
      </w:pPr>
      <w:r>
        <w:t>Authorized application can perform approved Cosmos DB operations.</w:t>
      </w:r>
    </w:p>
    <w:p>
      <w:pPr>
        <w:pStyle w:val="ListBullet"/>
        <w:spacing w:after="60"/>
        <w:ind w:left="360" w:hanging="230"/>
      </w:pPr>
      <w:r>
        <w:t>Authorized workload can invoke the approved Azure OpenAI deployment.</w:t>
      </w:r>
    </w:p>
    <w:p>
      <w:pPr>
        <w:pStyle w:val="ListBullet"/>
        <w:spacing w:after="60"/>
        <w:ind w:left="360" w:hanging="230"/>
      </w:pPr>
      <w:r>
        <w:t>Human-review permissions remain separate from infrastructure-administration permissions.</w:t>
      </w:r>
    </w:p>
    <w:p>
      <w:pPr>
        <w:pStyle w:val="Heading2"/>
      </w:pPr>
      <w:r>
        <w:t>7.7 Secrets and Key Validation</w:t>
      </w:r>
    </w:p>
    <w:p>
      <w:r>
        <w:t>Key Vault validation should ultimately establish both availability and access control.</w:t>
      </w:r>
    </w:p>
    <w:p>
      <w:pPr>
        <w:pStyle w:val="ListBullet"/>
        <w:spacing w:after="60"/>
        <w:ind w:left="360" w:hanging="230"/>
      </w:pPr>
      <w:r>
        <w:t>Required protected material can be retrieved by the intended identity.</w:t>
      </w:r>
    </w:p>
    <w:p>
      <w:pPr>
        <w:pStyle w:val="ListBullet"/>
        <w:spacing w:after="60"/>
        <w:ind w:left="360" w:hanging="230"/>
      </w:pPr>
      <w:r>
        <w:t>Unauthorized identities cannot retrieve it.</w:t>
      </w:r>
    </w:p>
    <w:p>
      <w:pPr>
        <w:pStyle w:val="ListBullet"/>
        <w:spacing w:after="60"/>
        <w:ind w:left="360" w:hanging="230"/>
      </w:pPr>
      <w:r>
        <w:t>Application code does not depend on embedded production credentials.</w:t>
      </w:r>
    </w:p>
    <w:p>
      <w:pPr>
        <w:pStyle w:val="ListBullet"/>
        <w:spacing w:after="60"/>
        <w:ind w:left="360" w:hanging="230"/>
      </w:pPr>
      <w:r>
        <w:t>Network restrictions behave as configured.</w:t>
      </w:r>
    </w:p>
    <w:p>
      <w:pPr>
        <w:pStyle w:val="ListBullet"/>
        <w:spacing w:after="60"/>
        <w:ind w:left="360" w:hanging="230"/>
      </w:pPr>
      <w:r>
        <w:t>Diagnostic evidence exists for relevant access events.</w:t>
      </w:r>
    </w:p>
    <w:p>
      <w:pPr>
        <w:pStyle w:val="ListBullet"/>
        <w:spacing w:after="60"/>
        <w:ind w:left="360" w:hanging="230"/>
      </w:pPr>
      <w:r>
        <w:t>Rotation or replacement does not unexpectedly break dependent services.</w:t>
      </w:r>
    </w:p>
    <w:p>
      <w:pPr>
        <w:pStyle w:val="Heading2"/>
      </w:pPr>
      <w:r>
        <w:t>7.8 Cosmos DB Validation</w:t>
      </w:r>
    </w:p>
    <w:p>
      <w:r>
        <w:t>The current infrastructure provisions the Cosmos DB account but not the finished DRE audit-data implementation.</w:t>
      </w:r>
    </w:p>
    <w:p>
      <w:pPr>
        <w:pStyle w:val="ListBullet"/>
        <w:spacing w:after="60"/>
        <w:ind w:left="360" w:hanging="230"/>
      </w:pPr>
      <w:r>
        <w:t>Database exists.</w:t>
      </w:r>
    </w:p>
    <w:p>
      <w:pPr>
        <w:pStyle w:val="ListBullet"/>
        <w:spacing w:after="60"/>
        <w:ind w:left="360" w:hanging="230"/>
      </w:pPr>
      <w:r>
        <w:t>Required containers exist.</w:t>
      </w:r>
    </w:p>
    <w:p>
      <w:pPr>
        <w:pStyle w:val="ListBullet"/>
        <w:spacing w:after="60"/>
        <w:ind w:left="360" w:hanging="230"/>
      </w:pPr>
      <w:r>
        <w:t>Partition strategy matches the implemented data model.</w:t>
      </w:r>
    </w:p>
    <w:p>
      <w:pPr>
        <w:pStyle w:val="ListBullet"/>
        <w:spacing w:after="60"/>
        <w:ind w:left="360" w:hanging="230"/>
      </w:pPr>
      <w:r>
        <w:t>Authorized DRE workload can write a controlled audit record.</w:t>
      </w:r>
    </w:p>
    <w:p>
      <w:pPr>
        <w:pStyle w:val="ListBullet"/>
        <w:spacing w:after="60"/>
        <w:ind w:left="360" w:hanging="230"/>
      </w:pPr>
      <w:r>
        <w:t>Authorized DRE workload can retrieve the expected record.</w:t>
      </w:r>
    </w:p>
    <w:p>
      <w:pPr>
        <w:pStyle w:val="ListBullet"/>
        <w:spacing w:after="60"/>
        <w:ind w:left="360" w:hanging="230"/>
      </w:pPr>
      <w:r>
        <w:t>Unauthorized access fails.</w:t>
      </w:r>
    </w:p>
    <w:p>
      <w:pPr>
        <w:pStyle w:val="ListBullet"/>
        <w:spacing w:after="60"/>
        <w:ind w:left="360" w:hanging="230"/>
      </w:pPr>
      <w:r>
        <w:t>Private connectivity works.</w:t>
      </w:r>
    </w:p>
    <w:p>
      <w:pPr>
        <w:pStyle w:val="ListBullet"/>
        <w:spacing w:after="60"/>
        <w:ind w:left="360" w:hanging="230"/>
      </w:pPr>
      <w:r>
        <w:t>Backup and retention configuration matches the selected policy.</w:t>
      </w:r>
    </w:p>
    <w:p>
      <w:pPr>
        <w:pStyle w:val="ListBullet"/>
        <w:spacing w:after="60"/>
        <w:ind w:left="360" w:hanging="230"/>
      </w:pPr>
      <w:r>
        <w:t>Transaction and audit information remain correctly associated.</w:t>
      </w:r>
    </w:p>
    <w:p>
      <w:pPr>
        <w:pStyle w:val="Heading2"/>
      </w:pPr>
      <w:r>
        <w:t>7.9 Azure OpenAI Model Validation</w:t>
      </w:r>
    </w:p>
    <w:p>
      <w:r>
        <w:t>The current Bicep creates an Azure OpenAI account but does not create a model deployment.</w:t>
      </w:r>
    </w:p>
    <w:p>
      <w:pPr>
        <w:pStyle w:val="ListBullet"/>
        <w:spacing w:after="60"/>
        <w:ind w:left="360" w:hanging="230"/>
      </w:pPr>
      <w:r>
        <w:t>Approved model deployment exists.</w:t>
      </w:r>
    </w:p>
    <w:p>
      <w:pPr>
        <w:pStyle w:val="ListBullet"/>
        <w:spacing w:after="60"/>
        <w:ind w:left="360" w:hanging="230"/>
      </w:pPr>
      <w:r>
        <w:t>DRE can invoke it through the intended connection.</w:t>
      </w:r>
    </w:p>
    <w:p>
      <w:pPr>
        <w:pStyle w:val="ListBullet"/>
        <w:spacing w:after="60"/>
        <w:ind w:left="360" w:hanging="230"/>
      </w:pPr>
      <w:r>
        <w:t>Authentication succeeds only for authorized identities.</w:t>
      </w:r>
    </w:p>
    <w:p>
      <w:pPr>
        <w:pStyle w:val="ListBullet"/>
        <w:spacing w:after="60"/>
        <w:ind w:left="360" w:hanging="230"/>
      </w:pPr>
      <w:r>
        <w:t>Public/unapproved invocation paths fail where prohibited.</w:t>
      </w:r>
    </w:p>
    <w:p>
      <w:pPr>
        <w:pStyle w:val="ListBullet"/>
        <w:spacing w:after="60"/>
        <w:ind w:left="360" w:hanging="230"/>
      </w:pPr>
      <w:r>
        <w:t>Model responses can be parsed into the expected structured contract.</w:t>
      </w:r>
    </w:p>
    <w:p>
      <w:pPr>
        <w:pStyle w:val="ListBullet"/>
        <w:spacing w:after="60"/>
        <w:ind w:left="360" w:hanging="230"/>
      </w:pPr>
      <w:r>
        <w:t>Invalid responses are handled explicitly.</w:t>
      </w:r>
    </w:p>
    <w:p>
      <w:pPr>
        <w:pStyle w:val="ListBullet"/>
        <w:spacing w:after="60"/>
        <w:ind w:left="360" w:hanging="230"/>
      </w:pPr>
      <w:r>
        <w:t>Service failures route into controlled transaction behavior.</w:t>
      </w:r>
    </w:p>
    <w:p>
      <w:pPr>
        <w:pStyle w:val="ListBullet"/>
        <w:spacing w:after="60"/>
        <w:ind w:left="360" w:hanging="230"/>
      </w:pPr>
      <w:r>
        <w:t>Quota and service errors do not silently change billing disposition.</w:t>
      </w:r>
    </w:p>
    <w:p>
      <w:pPr>
        <w:pStyle w:val="Heading2"/>
      </w:pPr>
      <w:r>
        <w:t>7.10 Deterministic Engine Testing</w:t>
      </w:r>
    </w:p>
    <w:p>
      <w:r>
        <w:t>The deterministic compliance engine is especially suitable for repeatable test coverage because its rules and expected outcomes are explicit.</w:t>
      </w:r>
    </w:p>
    <w:p>
      <w:pPr>
        <w:pStyle w:val="ListBullet"/>
        <w:spacing w:after="60"/>
        <w:ind w:left="360" w:hanging="230"/>
      </w:pPr>
      <w:r>
        <w:t>Partner</w:t>
      </w:r>
    </w:p>
    <w:p>
      <w:pPr>
        <w:pStyle w:val="ListBullet"/>
        <w:spacing w:after="60"/>
        <w:ind w:left="360" w:hanging="230"/>
      </w:pPr>
      <w:r>
        <w:t>Senior Associate</w:t>
      </w:r>
    </w:p>
    <w:p>
      <w:pPr>
        <w:pStyle w:val="ListBullet"/>
        <w:spacing w:after="60"/>
        <w:ind w:left="360" w:hanging="230"/>
      </w:pPr>
      <w:r>
        <w:t>Junior Associate</w:t>
      </w:r>
    </w:p>
    <w:p>
      <w:pPr>
        <w:pStyle w:val="ListBullet"/>
        <w:spacing w:after="60"/>
        <w:ind w:left="360" w:hanging="230"/>
      </w:pPr>
      <w:r>
        <w:t>Printing</w:t>
      </w:r>
    </w:p>
    <w:p>
      <w:pPr>
        <w:pStyle w:val="ListBullet"/>
        <w:spacing w:after="60"/>
        <w:ind w:left="360" w:hanging="230"/>
      </w:pPr>
      <w:r>
        <w:t>Photocopying</w:t>
      </w:r>
    </w:p>
    <w:p>
      <w:pPr>
        <w:pStyle w:val="ListBullet"/>
        <w:spacing w:after="60"/>
        <w:ind w:left="360" w:hanging="230"/>
      </w:pPr>
      <w:r>
        <w:t>Scanning</w:t>
      </w:r>
    </w:p>
    <w:p>
      <w:pPr>
        <w:pStyle w:val="ListBullet"/>
        <w:spacing w:after="60"/>
        <w:ind w:left="360" w:hanging="230"/>
      </w:pPr>
      <w:r>
        <w:t>Broad legal research</w:t>
      </w:r>
    </w:p>
    <w:p>
      <w:pPr>
        <w:pStyle w:val="ListBullet"/>
        <w:spacing w:after="60"/>
        <w:ind w:left="360" w:hanging="230"/>
      </w:pPr>
      <w:r>
        <w:t>Review</w:t>
      </w:r>
    </w:p>
    <w:p>
      <w:pPr>
        <w:pStyle w:val="ListBullet"/>
        <w:spacing w:after="60"/>
        <w:ind w:left="360" w:hanging="230"/>
      </w:pPr>
      <w:r>
        <w:t>File preparation</w:t>
      </w:r>
    </w:p>
    <w:p>
      <w:pPr>
        <w:pStyle w:val="Heading2"/>
      </w:pPr>
      <w:r>
        <w:t>7.11 Deterministic Rule Testing</w:t>
      </w:r>
    </w:p>
    <w:p>
      <w:r>
        <w:t>Individual rules should be testable independently of the complete application.</w:t>
      </w:r>
    </w:p>
    <w:p>
      <w:pPr>
        <w:pStyle w:val="ListBullet"/>
        <w:spacing w:after="60"/>
        <w:ind w:left="360" w:hanging="230"/>
      </w:pPr>
      <w:r>
        <w:t>Clear positive examples</w:t>
      </w:r>
    </w:p>
    <w:p>
      <w:pPr>
        <w:pStyle w:val="ListBullet"/>
        <w:spacing w:after="60"/>
        <w:ind w:left="360" w:hanging="230"/>
      </w:pPr>
      <w:r>
        <w:t>Clear negative examples</w:t>
      </w:r>
    </w:p>
    <w:p>
      <w:pPr>
        <w:pStyle w:val="ListBullet"/>
        <w:spacing w:after="60"/>
        <w:ind w:left="360" w:hanging="230"/>
      </w:pPr>
      <w:r>
        <w:t>Multiple triggering conditions</w:t>
      </w:r>
    </w:p>
    <w:p>
      <w:pPr>
        <w:pStyle w:val="ListBullet"/>
        <w:spacing w:after="60"/>
        <w:ind w:left="360" w:hanging="230"/>
      </w:pPr>
      <w:r>
        <w:t>Boundary conditions</w:t>
      </w:r>
    </w:p>
    <w:p>
      <w:pPr>
        <w:pStyle w:val="ListBullet"/>
        <w:spacing w:after="60"/>
        <w:ind w:left="360" w:hanging="230"/>
      </w:pPr>
      <w:r>
        <w:t>Multiple violations in one narrative</w:t>
      </w:r>
    </w:p>
    <w:p>
      <w:pPr>
        <w:pStyle w:val="ListBullet"/>
        <w:spacing w:after="60"/>
        <w:ind w:left="360" w:hanging="230"/>
      </w:pPr>
      <w:r>
        <w:t>Punctuation/case variations where relevant</w:t>
      </w:r>
    </w:p>
    <w:p>
      <w:pPr>
        <w:pStyle w:val="ListBullet"/>
        <w:spacing w:after="60"/>
        <w:ind w:left="360" w:hanging="230"/>
      </w:pPr>
      <w:r>
        <w:t>Numeric boundaries where relevant</w:t>
      </w:r>
    </w:p>
    <w:p>
      <w:pPr>
        <w:pStyle w:val="ListBullet"/>
        <w:spacing w:after="60"/>
        <w:ind w:left="360" w:hanging="230"/>
      </w:pPr>
      <w:r>
        <w:t>Authorized exceptions when those are implemented</w:t>
      </w:r>
    </w:p>
    <w:p>
      <w:pPr>
        <w:pStyle w:val="ListBullet"/>
        <w:spacing w:after="60"/>
        <w:ind w:left="360" w:hanging="230"/>
      </w:pPr>
      <w:r>
        <w:t>Rule-version behavior</w:t>
      </w:r>
    </w:p>
    <w:p>
      <w:pPr>
        <w:pStyle w:val="Heading2"/>
      </w:pPr>
      <w:r>
        <w:t>7.12 Consensus Testing</w:t>
      </w:r>
    </w:p>
    <w:p>
      <w:r>
        <w:t>Consensus validation requires a different methodology because the AI layer is probabilistic.</w:t>
      </w:r>
    </w:p>
    <w:p>
      <w:pPr>
        <w:pStyle w:val="ListBullet"/>
        <w:spacing w:after="60"/>
        <w:ind w:left="360" w:hanging="230"/>
      </w:pPr>
      <w:r>
        <w:t>Vote</w:t>
      </w:r>
    </w:p>
    <w:p>
      <w:pPr>
        <w:pStyle w:val="ListBullet"/>
        <w:spacing w:after="60"/>
        <w:ind w:left="360" w:hanging="230"/>
      </w:pPr>
      <w:r>
        <w:t>Confidence score</w:t>
      </w:r>
    </w:p>
    <w:p>
      <w:pPr>
        <w:pStyle w:val="ListBullet"/>
        <w:spacing w:after="60"/>
        <w:ind w:left="360" w:hanging="230"/>
      </w:pPr>
      <w:r>
        <w:t>Extracted intent</w:t>
      </w:r>
    </w:p>
    <w:p>
      <w:pPr>
        <w:pStyle w:val="ListBullet"/>
        <w:spacing w:after="60"/>
        <w:ind w:left="360" w:hanging="230"/>
      </w:pPr>
      <w:r>
        <w:t>Reasoning</w:t>
      </w:r>
    </w:p>
    <w:p>
      <w:r>
        <w:t>Consensus testing therefore has at least two distinct layers:</w:t>
      </w:r>
    </w:p>
    <w:p>
      <w:r>
        <w:t>Model behavior: What did each agent return?</w:t>
      </w:r>
    </w:p>
    <w:p>
      <w:r>
        <w:t>Referee behavior: Given those votes, did deterministic routing produce the expected system action?</w:t>
      </w:r>
    </w:p>
    <w:p>
      <w:r>
        <w:t>Keeping those layers separate makes failures diagnosable.</w:t>
      </w:r>
    </w:p>
    <w:p>
      <w:pPr>
        <w:pStyle w:val="Heading2"/>
      </w:pPr>
      <w:r>
        <w:t>7.13 Referee Logic Testing</w:t>
      </w:r>
    </w:p>
    <w:p>
      <w:r>
        <w:t>The current vote-counting logic is deterministic and can therefore be exhaustively tested against valid vote combinations.</w:t>
      </w:r>
    </w:p>
    <w:p>
      <w:pPr>
        <w:pStyle w:val="ListBullet"/>
        <w:spacing w:after="60"/>
        <w:ind w:left="360" w:hanging="230"/>
      </w:pPr>
      <w:r>
        <w:t>COMMIT_TO_DATABASE</w:t>
      </w:r>
    </w:p>
    <w:p>
      <w:pPr>
        <w:pStyle w:val="ListBullet"/>
        <w:spacing w:after="60"/>
        <w:ind w:left="360" w:hanging="230"/>
      </w:pPr>
      <w:r>
        <w:t>RECONSTRUCT_AND_SPLIT</w:t>
      </w:r>
    </w:p>
    <w:p>
      <w:pPr>
        <w:pStyle w:val="ListBullet"/>
        <w:spacing w:after="60"/>
        <w:ind w:left="360" w:hanging="230"/>
      </w:pPr>
      <w:r>
        <w:t>HARD_REJECT</w:t>
      </w:r>
    </w:p>
    <w:p>
      <w:pPr>
        <w:pStyle w:val="ListBullet"/>
        <w:spacing w:after="60"/>
        <w:ind w:left="360" w:hanging="230"/>
      </w:pPr>
      <w:r>
        <w:t>Human escalation safe state</w:t>
      </w:r>
    </w:p>
    <w:p>
      <w:r>
        <w:t>Tests should verify that each possible supported vote combination reaches the intended deterministic branch.</w:t>
      </w:r>
    </w:p>
    <w:p>
      <w:r>
        <w:t>The existing component review has already identified an important architecture question: with exactly three agents and three valid vote values, the currently defined branches appear capable of covering all valid combinations.</w:t>
      </w:r>
    </w:p>
    <w:p>
      <w:r>
        <w:t>That means the nominal “other” human-escalation branch may not be naturally reachable through ordinary valid votes.</w:t>
      </w:r>
    </w:p>
    <w:p>
      <w:r>
        <w:t>This is precisely the kind of condition the validation program should expose rather than allowing a safe-state path to exist only in documentation.</w:t>
      </w:r>
    </w:p>
    <w:p>
      <w:pPr>
        <w:pStyle w:val="Heading2"/>
      </w:pPr>
      <w:r>
        <w:t>7.14 Current One-Round Consensus Validation</w:t>
      </w:r>
    </w:p>
    <w:p>
      <w:r>
        <w:t>The current implemented consensus component represents one parallel round of three agents.</w:t>
      </w:r>
    </w:p>
    <w:p>
      <w:r>
        <w:t>Validation of the current component should therefore test the architecture that actually exists:</w:t>
      </w:r>
    </w:p>
    <w:tbl>
      <w:tblPr>
        <w:tblW w:type="auto" w:w="0"/>
        <w:jc w:val="center"/>
        <w:tblLayout w:type="fixed"/>
        <w:tblLook w:firstColumn="1" w:firstRow="1" w:lastColumn="0" w:lastRow="0" w:noHBand="0" w:noVBand="1" w:val="04A0"/>
      </w:tblPr>
      <w:tblGrid>
        <w:gridCol w:w="173"/>
        <w:gridCol w:w="9475"/>
      </w:tblGrid>
      <w:tr>
        <w:tc>
          <w:tcPr>
            <w:tcW w:type="dxa" w:w="4939"/>
            <w:shd w:fill="2E7D7A"/>
          </w:tcPr>
          <w:p>
            <w:r/>
          </w:p>
        </w:tc>
        <w:tc>
          <w:tcPr>
            <w:tcW w:type="dxa" w:w="4939"/>
            <w:shd w:fill="EAF1F5"/>
            <w:tcMar>
              <w:top w:w="160" w:type="dxa"/>
              <w:start w:w="160" w:type="dxa"/>
              <w:bottom w:w="160" w:type="dxa"/>
              <w:end w:w="160" w:type="dxa"/>
            </w:tcMar>
          </w:tcPr>
          <w:p>
            <w:pPr>
              <w:pStyle w:val="Callout"/>
            </w:pPr>
            <w:r>
              <w:rPr>
                <w:color w:val="2E7D7A"/>
                <w:sz w:val="16"/>
              </w:rPr>
              <w:t>CURRENT VALIDATION BOUNDARY</w:t>
              <w:br/>
            </w:r>
            <w:r>
              <w:t>Three agents → structured votes → deterministic counting → resulting action.</w:t>
            </w:r>
          </w:p>
        </w:tc>
      </w:tr>
    </w:tbl>
    <w:p/>
    <w:p>
      <w:r>
        <w:t>It should not claim to have validated the broader intended three-agent, three-round architecture until that architecture is implemented.</w:t>
      </w:r>
    </w:p>
    <w:p>
      <w:pPr>
        <w:pStyle w:val="Heading2"/>
      </w:pPr>
      <w:r>
        <w:t>7.15 Intended Multi-Round Consensus Validation</w:t>
      </w:r>
    </w:p>
    <w:p>
      <w:r>
        <w:t>The broader DRE architecture calls for three independent agents operating across three rounds, followed by referee synthesis.</w:t>
      </w:r>
    </w:p>
    <w:p>
      <w:pPr>
        <w:pStyle w:val="ListBullet"/>
        <w:spacing w:after="60"/>
        <w:ind w:left="360" w:hanging="230"/>
      </w:pPr>
      <w:r>
        <w:t>Independence of each evaluation</w:t>
      </w:r>
    </w:p>
    <w:p>
      <w:pPr>
        <w:pStyle w:val="ListBullet"/>
        <w:spacing w:after="60"/>
        <w:ind w:left="360" w:hanging="230"/>
      </w:pPr>
      <w:r>
        <w:t>Preservation of every agent result</w:t>
      </w:r>
    </w:p>
    <w:p>
      <w:pPr>
        <w:pStyle w:val="ListBullet"/>
        <w:spacing w:after="60"/>
        <w:ind w:left="360" w:hanging="230"/>
      </w:pPr>
      <w:r>
        <w:t>Preservation of each round result</w:t>
      </w:r>
    </w:p>
    <w:p>
      <w:pPr>
        <w:pStyle w:val="ListBullet"/>
        <w:spacing w:after="60"/>
        <w:ind w:left="360" w:hanging="230"/>
      </w:pPr>
      <w:r>
        <w:t>Agreement across rounds</w:t>
      </w:r>
    </w:p>
    <w:p>
      <w:pPr>
        <w:pStyle w:val="ListBullet"/>
        <w:spacing w:after="60"/>
        <w:ind w:left="360" w:hanging="230"/>
      </w:pPr>
      <w:r>
        <w:t>Disagreement across rounds</w:t>
      </w:r>
    </w:p>
    <w:p>
      <w:pPr>
        <w:pStyle w:val="ListBullet"/>
        <w:spacing w:after="60"/>
        <w:ind w:left="360" w:hanging="230"/>
      </w:pPr>
      <w:r>
        <w:t>Referee synthesis</w:t>
      </w:r>
    </w:p>
    <w:p>
      <w:pPr>
        <w:pStyle w:val="ListBullet"/>
        <w:spacing w:after="60"/>
        <w:ind w:left="360" w:hanging="230"/>
      </w:pPr>
      <w:r>
        <w:t>Escalation thresholds</w:t>
      </w:r>
    </w:p>
    <w:p>
      <w:pPr>
        <w:pStyle w:val="ListBullet"/>
        <w:spacing w:after="60"/>
        <w:ind w:left="360" w:hanging="230"/>
      </w:pPr>
      <w:r>
        <w:t>Cost and latency</w:t>
      </w:r>
    </w:p>
    <w:p>
      <w:pPr>
        <w:pStyle w:val="ListBullet"/>
        <w:spacing w:after="60"/>
        <w:ind w:left="360" w:hanging="230"/>
      </w:pPr>
      <w:r>
        <w:t>Repeatability characteristics</w:t>
      </w:r>
    </w:p>
    <w:p>
      <w:pPr>
        <w:pStyle w:val="ListBullet"/>
        <w:spacing w:after="60"/>
        <w:ind w:left="360" w:hanging="230"/>
      </w:pPr>
      <w:r>
        <w:t>Human-review usefulness</w:t>
      </w:r>
    </w:p>
    <w:p>
      <w:pPr>
        <w:pStyle w:val="Heading2"/>
      </w:pPr>
      <w:r>
        <w:t>7.16 Labeled Exception Dataset</w:t>
      </w:r>
    </w:p>
    <w:p>
      <w:r>
        <w:t>A meaningful consensus-validation program ultimately requires a controlled corpus of representative legal-billing exceptions with expected classifications or authorized reviewer dispositions.</w:t>
      </w:r>
    </w:p>
    <w:p>
      <w:pPr>
        <w:pStyle w:val="Heading2"/>
      </w:pPr>
      <w:r>
        <w:t>7.17 End-to-End Transaction Testing</w:t>
      </w:r>
    </w:p>
    <w:p>
      <w:r>
        <w:t>Individual components working correctly does not prove that the complete DRE transaction works correctly.</w:t>
      </w:r>
    </w:p>
    <w:tbl>
      <w:tblPr>
        <w:tblW w:type="auto" w:w="0"/>
        <w:jc w:val="center"/>
        <w:tblLayout w:type="fixed"/>
        <w:tblLook w:firstColumn="1" w:firstRow="1" w:lastColumn="0" w:lastRow="0" w:noHBand="0" w:noVBand="1" w:val="04A0"/>
      </w:tblPr>
      <w:tblGrid>
        <w:gridCol w:w="173"/>
        <w:gridCol w:w="9475"/>
      </w:tblGrid>
      <w:tr>
        <w:tc>
          <w:tcPr>
            <w:tcW w:type="dxa" w:w="4939"/>
            <w:shd w:fill="2E7D7A"/>
          </w:tcPr>
          <w:p>
            <w:r/>
          </w:p>
        </w:tc>
        <w:tc>
          <w:tcPr>
            <w:tcW w:type="dxa" w:w="4939"/>
            <w:shd w:fill="EAF1F5"/>
            <w:tcMar>
              <w:top w:w="160" w:type="dxa"/>
              <w:start w:w="160" w:type="dxa"/>
              <w:bottom w:w="160" w:type="dxa"/>
              <w:end w:w="160" w:type="dxa"/>
            </w:tcMar>
          </w:tcPr>
          <w:p>
            <w:pPr>
              <w:pStyle w:val="Callout"/>
            </w:pPr>
            <w:r>
              <w:rPr>
                <w:color w:val="2E7D7A"/>
                <w:sz w:val="16"/>
              </w:rPr>
              <w:t>END-TO-END TEST PATH</w:t>
              <w:br/>
            </w:r>
            <w:r>
              <w:t>Input → deterministic engine → routing decision → consensus when required → referee → financial finalization → audit receipt → human-review state where applicable → output.</w:t>
            </w:r>
          </w:p>
        </w:tc>
      </w:tr>
    </w:tbl>
    <w:p/>
    <w:p>
      <w:r>
        <w:t>Tests should verify both the resulting decision state and the preservation of the evidence chain.</w:t>
      </w:r>
    </w:p>
    <w:p>
      <w:r>
        <w:t>A transaction that produces the correct final status but loses the reason it reached that status is not a fully successful DRE transaction.</w:t>
      </w:r>
    </w:p>
    <w:p>
      <w:pPr>
        <w:pStyle w:val="Heading2"/>
      </w:pPr>
      <w:r>
        <w:t>7.18 Financial Calculation Validation</w:t>
      </w:r>
    </w:p>
    <w:p>
      <w:r>
        <w:t>Financial calculations require deterministic tests independent of the semantic review.</w:t>
      </w:r>
    </w:p>
    <w:p>
      <w:pPr>
        <w:pStyle w:val="ListBullet"/>
        <w:spacing w:after="60"/>
        <w:ind w:left="360" w:hanging="230"/>
      </w:pPr>
      <w:r>
        <w:t>Hourly rate</w:t>
      </w:r>
    </w:p>
    <w:p>
      <w:pPr>
        <w:pStyle w:val="ListBullet"/>
        <w:spacing w:after="60"/>
        <w:ind w:left="360" w:hanging="230"/>
      </w:pPr>
      <w:r>
        <w:t>Original hours</w:t>
      </w:r>
    </w:p>
    <w:p>
      <w:pPr>
        <w:pStyle w:val="ListBullet"/>
        <w:spacing w:after="60"/>
        <w:ind w:left="360" w:hanging="230"/>
      </w:pPr>
      <w:r>
        <w:t>Original value</w:t>
      </w:r>
    </w:p>
    <w:p>
      <w:pPr>
        <w:pStyle w:val="ListBullet"/>
        <w:spacing w:after="60"/>
        <w:ind w:left="360" w:hanging="230"/>
      </w:pPr>
      <w:r>
        <w:t>Deterministically adjusted hours</w:t>
      </w:r>
    </w:p>
    <w:p>
      <w:pPr>
        <w:pStyle w:val="ListBullet"/>
        <w:spacing w:after="60"/>
        <w:ind w:left="360" w:hanging="230"/>
      </w:pPr>
      <w:r>
        <w:t>Deterministically adjusted value</w:t>
      </w:r>
    </w:p>
    <w:p>
      <w:pPr>
        <w:pStyle w:val="ListBullet"/>
        <w:spacing w:after="60"/>
        <w:ind w:left="360" w:hanging="230"/>
      </w:pPr>
      <w:r>
        <w:t>Final calculated value</w:t>
      </w:r>
    </w:p>
    <w:p>
      <w:pPr>
        <w:pStyle w:val="ListBullet"/>
        <w:spacing w:after="60"/>
        <w:ind w:left="360" w:hanging="230"/>
      </w:pPr>
      <w:r>
        <w:t>Difference between original and final value</w:t>
      </w:r>
    </w:p>
    <w:p>
      <w:r>
        <w:t>Tests should also preserve the distinction between:</w:t>
      </w:r>
    </w:p>
    <w:p>
      <w:pPr>
        <w:pStyle w:val="ListBullet"/>
        <w:spacing w:after="60"/>
        <w:ind w:left="360" w:hanging="230"/>
      </w:pPr>
      <w:r>
        <w:t>Calculated difference</w:t>
      </w:r>
    </w:p>
    <w:p>
      <w:pPr>
        <w:pStyle w:val="ListBullet"/>
        <w:spacing w:after="60"/>
        <w:ind w:left="360" w:hanging="230"/>
      </w:pPr>
      <w:r>
        <w:t>Proposed adjustment</w:t>
      </w:r>
    </w:p>
    <w:p>
      <w:pPr>
        <w:pStyle w:val="ListBullet"/>
        <w:spacing w:after="60"/>
        <w:ind w:left="360" w:hanging="230"/>
      </w:pPr>
      <w:r>
        <w:t>Authorized adjustment</w:t>
      </w:r>
    </w:p>
    <w:p>
      <w:pPr>
        <w:pStyle w:val="ListBullet"/>
        <w:spacing w:after="60"/>
        <w:ind w:left="360" w:hanging="230"/>
      </w:pPr>
      <w:r>
        <w:t>Realized financial outcome</w:t>
      </w:r>
    </w:p>
    <w:p>
      <w:r>
        <w:t>A technically correct subtraction should not automatically be labeled “savings.”</w:t>
      </w:r>
    </w:p>
    <w:p>
      <w:r>
        <w:t>This prevents the software’s reporting layer from making a stronger financial claim than the underlying transaction state supports.</w:t>
      </w:r>
    </w:p>
    <w:p>
      <w:pPr>
        <w:pStyle w:val="Heading2"/>
      </w:pPr>
      <w:r>
        <w:t>7.19 Narrative Integrity Testing</w:t>
      </w:r>
    </w:p>
    <w:p>
      <w:r>
        <w:t>DRE may preserve multiple versions of a billing narrative throughout processing.</w:t>
      </w:r>
    </w:p>
    <w:p>
      <w:pPr>
        <w:pStyle w:val="ListBullet"/>
        <w:spacing w:after="60"/>
        <w:ind w:left="360" w:hanging="230"/>
      </w:pPr>
      <w:r>
        <w:t>Original narrative</w:t>
      </w:r>
    </w:p>
    <w:p>
      <w:pPr>
        <w:pStyle w:val="ListBullet"/>
        <w:spacing w:after="60"/>
        <w:ind w:left="360" w:hanging="230"/>
      </w:pPr>
      <w:r>
        <w:t>Sanitized narrative</w:t>
      </w:r>
    </w:p>
    <w:p>
      <w:pPr>
        <w:pStyle w:val="ListBullet"/>
        <w:spacing w:after="60"/>
        <w:ind w:left="360" w:hanging="230"/>
      </w:pPr>
      <w:r>
        <w:t>Agent-extracted intent</w:t>
      </w:r>
    </w:p>
    <w:p>
      <w:pPr>
        <w:pStyle w:val="ListBullet"/>
        <w:spacing w:after="60"/>
        <w:ind w:left="360" w:hanging="230"/>
      </w:pPr>
      <w:r>
        <w:t>Reconstructed narrative</w:t>
      </w:r>
    </w:p>
    <w:p>
      <w:pPr>
        <w:pStyle w:val="ListBullet"/>
        <w:spacing w:after="60"/>
        <w:ind w:left="360" w:hanging="230"/>
      </w:pPr>
      <w:r>
        <w:t>Final narrative</w:t>
      </w:r>
    </w:p>
    <w:p>
      <w:pPr>
        <w:pStyle w:val="Heading2"/>
      </w:pPr>
      <w:r>
        <w:t>7.20 Failure-Path Testing</w:t>
      </w:r>
    </w:p>
    <w:p>
      <w:r>
        <w:t>Failure behavior should be tested deliberately.</w:t>
      </w:r>
    </w:p>
    <w:p>
      <w:pPr>
        <w:pStyle w:val="ListBullet"/>
        <w:spacing w:after="60"/>
        <w:ind w:left="360" w:hanging="230"/>
      </w:pPr>
      <w:r>
        <w:t>Azure OpenAI unavailable</w:t>
      </w:r>
    </w:p>
    <w:p>
      <w:pPr>
        <w:pStyle w:val="ListBullet"/>
        <w:spacing w:after="60"/>
        <w:ind w:left="360" w:hanging="230"/>
      </w:pPr>
      <w:r>
        <w:t>Model invocation timeout</w:t>
      </w:r>
    </w:p>
    <w:p>
      <w:pPr>
        <w:pStyle w:val="ListBullet"/>
        <w:spacing w:after="60"/>
        <w:ind w:left="360" w:hanging="230"/>
      </w:pPr>
      <w:r>
        <w:t>Invalid structured AI response</w:t>
      </w:r>
    </w:p>
    <w:p>
      <w:pPr>
        <w:pStyle w:val="ListBullet"/>
        <w:spacing w:after="60"/>
        <w:ind w:left="360" w:hanging="230"/>
      </w:pPr>
      <w:r>
        <w:t>Authentication failure</w:t>
      </w:r>
    </w:p>
    <w:p>
      <w:pPr>
        <w:pStyle w:val="ListBullet"/>
        <w:spacing w:after="60"/>
        <w:ind w:left="360" w:hanging="230"/>
      </w:pPr>
      <w:r>
        <w:t>Cosmos DB unavailable</w:t>
      </w:r>
    </w:p>
    <w:p>
      <w:pPr>
        <w:pStyle w:val="ListBullet"/>
        <w:spacing w:after="60"/>
        <w:ind w:left="360" w:hanging="230"/>
      </w:pPr>
      <w:r>
        <w:t>Key Vault unavailable</w:t>
      </w:r>
    </w:p>
    <w:p>
      <w:pPr>
        <w:pStyle w:val="ListBullet"/>
        <w:spacing w:after="60"/>
        <w:ind w:left="360" w:hanging="230"/>
      </w:pPr>
      <w:r>
        <w:t>Queue/messaging failure</w:t>
      </w:r>
    </w:p>
    <w:p>
      <w:pPr>
        <w:pStyle w:val="ListBullet"/>
        <w:spacing w:after="60"/>
        <w:ind w:left="360" w:hanging="230"/>
      </w:pPr>
      <w:r>
        <w:t>Invalid input</w:t>
      </w:r>
    </w:p>
    <w:p>
      <w:pPr>
        <w:pStyle w:val="ListBullet"/>
        <w:spacing w:after="60"/>
        <w:ind w:left="360" w:hanging="230"/>
      </w:pPr>
      <w:r>
        <w:t>Missing required context</w:t>
      </w:r>
    </w:p>
    <w:p>
      <w:pPr>
        <w:pStyle w:val="ListBullet"/>
        <w:spacing w:after="60"/>
        <w:ind w:left="360" w:hanging="230"/>
      </w:pPr>
      <w:r>
        <w:t>Unsupported processing state</w:t>
      </w:r>
    </w:p>
    <w:p>
      <w:pPr>
        <w:pStyle w:val="ListBullet"/>
        <w:spacing w:after="60"/>
        <w:ind w:left="360" w:hanging="230"/>
      </w:pPr>
      <w:r>
        <w:t>Logging failure</w:t>
      </w:r>
    </w:p>
    <w:p>
      <w:pPr>
        <w:pStyle w:val="ListBullet"/>
        <w:spacing w:after="60"/>
        <w:ind w:left="360" w:hanging="230"/>
      </w:pPr>
      <w:r>
        <w:t>Partial downstream failure</w:t>
      </w:r>
    </w:p>
    <w:p>
      <w:pPr>
        <w:pStyle w:val="Heading2"/>
      </w:pPr>
      <w:r>
        <w:t>7.21 Edge-Case and Fuzz Testing</w:t>
      </w:r>
    </w:p>
    <w:p>
      <w:r>
        <w:t>DRE will eventually encounter billing data that is much less orderly than demonstration data.</w:t>
      </w:r>
    </w:p>
    <w:p>
      <w:pPr>
        <w:pStyle w:val="ListBullet"/>
        <w:spacing w:after="60"/>
        <w:ind w:left="360" w:hanging="230"/>
      </w:pPr>
      <w:r>
        <w:t>Missing fields</w:t>
      </w:r>
    </w:p>
    <w:p>
      <w:pPr>
        <w:pStyle w:val="ListBullet"/>
        <w:spacing w:after="60"/>
        <w:ind w:left="360" w:hanging="230"/>
      </w:pPr>
      <w:r>
        <w:t>Unexpected types</w:t>
      </w:r>
    </w:p>
    <w:p>
      <w:pPr>
        <w:pStyle w:val="ListBullet"/>
        <w:spacing w:after="60"/>
        <w:ind w:left="360" w:hanging="230"/>
      </w:pPr>
      <w:r>
        <w:t>Extremely long narratives</w:t>
      </w:r>
    </w:p>
    <w:p>
      <w:pPr>
        <w:pStyle w:val="ListBullet"/>
        <w:spacing w:after="60"/>
        <w:ind w:left="360" w:hanging="230"/>
      </w:pPr>
      <w:r>
        <w:t>Empty narratives</w:t>
      </w:r>
    </w:p>
    <w:p>
      <w:pPr>
        <w:pStyle w:val="ListBullet"/>
        <w:spacing w:after="60"/>
        <w:ind w:left="360" w:hanging="230"/>
      </w:pPr>
      <w:r>
        <w:t>Invalid numeric values</w:t>
      </w:r>
    </w:p>
    <w:p>
      <w:pPr>
        <w:pStyle w:val="ListBullet"/>
        <w:spacing w:after="60"/>
        <w:ind w:left="360" w:hanging="230"/>
      </w:pPr>
      <w:r>
        <w:t>Negative or zero values where inappropriate</w:t>
      </w:r>
    </w:p>
    <w:p>
      <w:pPr>
        <w:pStyle w:val="ListBullet"/>
        <w:spacing w:after="60"/>
        <w:ind w:left="360" w:hanging="230"/>
      </w:pPr>
      <w:r>
        <w:t>Duplicate identifiers</w:t>
      </w:r>
    </w:p>
    <w:p>
      <w:pPr>
        <w:pStyle w:val="ListBullet"/>
        <w:spacing w:after="60"/>
        <w:ind w:left="360" w:hanging="230"/>
      </w:pPr>
      <w:r>
        <w:t>Unusual Unicode/text</w:t>
      </w:r>
    </w:p>
    <w:p>
      <w:pPr>
        <w:pStyle w:val="ListBullet"/>
        <w:spacing w:after="60"/>
        <w:ind w:left="360" w:hanging="230"/>
      </w:pPr>
      <w:r>
        <w:t>Multiple rule triggers</w:t>
      </w:r>
    </w:p>
    <w:p>
      <w:pPr>
        <w:pStyle w:val="ListBullet"/>
        <w:spacing w:after="60"/>
        <w:ind w:left="360" w:hanging="230"/>
      </w:pPr>
      <w:r>
        <w:t>Conflicting policy conditions</w:t>
      </w:r>
    </w:p>
    <w:p>
      <w:pPr>
        <w:pStyle w:val="ListBullet"/>
        <w:spacing w:after="60"/>
        <w:ind w:left="360" w:hanging="230"/>
      </w:pPr>
      <w:r>
        <w:t>Unexpected AI output</w:t>
      </w:r>
    </w:p>
    <w:p>
      <w:pPr>
        <w:pStyle w:val="ListBullet"/>
        <w:spacing w:after="60"/>
        <w:ind w:left="360" w:hanging="230"/>
      </w:pPr>
      <w:r>
        <w:t>Malformed structured responses</w:t>
      </w:r>
    </w:p>
    <w:p>
      <w:pPr>
        <w:pStyle w:val="Heading2"/>
      </w:pPr>
      <w:r>
        <w:t>7.22 Human-Review Validation</w:t>
      </w:r>
    </w:p>
    <w:p>
      <w:r>
        <w:t>The human-review path itself requires validation.</w:t>
      </w:r>
    </w:p>
    <w:p>
      <w:pPr>
        <w:pStyle w:val="ListBullet"/>
        <w:spacing w:after="60"/>
        <w:ind w:left="360" w:hanging="230"/>
      </w:pPr>
      <w:r>
        <w:t>Transactions intended for human review actually reach that state.</w:t>
      </w:r>
    </w:p>
    <w:p>
      <w:pPr>
        <w:pStyle w:val="ListBullet"/>
        <w:spacing w:after="60"/>
        <w:ind w:left="360" w:hanging="230"/>
      </w:pPr>
      <w:r>
        <w:t>Evidence needed by the reviewer is present.</w:t>
      </w:r>
    </w:p>
    <w:p>
      <w:pPr>
        <w:pStyle w:val="ListBullet"/>
        <w:spacing w:after="60"/>
        <w:ind w:left="360" w:hanging="230"/>
      </w:pPr>
      <w:r>
        <w:t>Original and modified information remain distinguishable.</w:t>
      </w:r>
    </w:p>
    <w:p>
      <w:pPr>
        <w:pStyle w:val="ListBullet"/>
        <w:spacing w:after="60"/>
        <w:ind w:left="360" w:hanging="230"/>
      </w:pPr>
      <w:r>
        <w:t>Proposed financial effects are visible.</w:t>
      </w:r>
    </w:p>
    <w:p>
      <w:pPr>
        <w:pStyle w:val="ListBullet"/>
        <w:spacing w:after="60"/>
        <w:ind w:left="360" w:hanging="230"/>
      </w:pPr>
      <w:r>
        <w:t>System reasoning does not masquerade as human disposition.</w:t>
      </w:r>
    </w:p>
    <w:p>
      <w:pPr>
        <w:pStyle w:val="ListBullet"/>
        <w:spacing w:after="60"/>
        <w:ind w:left="360" w:hanging="230"/>
      </w:pPr>
      <w:r>
        <w:t>Authorized reviewer actions are captured.</w:t>
      </w:r>
    </w:p>
    <w:p>
      <w:pPr>
        <w:pStyle w:val="ListBullet"/>
        <w:spacing w:after="60"/>
        <w:ind w:left="360" w:hanging="230"/>
      </w:pPr>
      <w:r>
        <w:t>Unauthorized identities cannot perform disposition actions.</w:t>
      </w:r>
    </w:p>
    <w:p>
      <w:pPr>
        <w:pStyle w:val="ListBullet"/>
        <w:spacing w:after="60"/>
        <w:ind w:left="360" w:hanging="230"/>
      </w:pPr>
      <w:r>
        <w:t>Final disposition becomes part of the audit record.</w:t>
      </w:r>
    </w:p>
    <w:p>
      <w:pPr>
        <w:pStyle w:val="Heading2"/>
      </w:pPr>
      <w:r>
        <w:t>7.23 Evidence Capture</w:t>
      </w:r>
    </w:p>
    <w:p>
      <w:r>
        <w:t>Each meaningful validation run should produce a reviewable record.</w:t>
      </w:r>
    </w:p>
    <w:p>
      <w:pPr>
        <w:pStyle w:val="ListBullet"/>
        <w:spacing w:after="60"/>
        <w:ind w:left="360" w:hanging="230"/>
      </w:pPr>
      <w:r>
        <w:t>Deployment outputs</w:t>
      </w:r>
    </w:p>
    <w:p>
      <w:pPr>
        <w:pStyle w:val="ListBullet"/>
        <w:spacing w:after="60"/>
        <w:ind w:left="360" w:hanging="230"/>
      </w:pPr>
      <w:r>
        <w:t>Test results</w:t>
      </w:r>
    </w:p>
    <w:p>
      <w:pPr>
        <w:pStyle w:val="ListBullet"/>
        <w:spacing w:after="60"/>
        <w:ind w:left="360" w:hanging="230"/>
      </w:pPr>
      <w:r>
        <w:t>Configuration snapshots</w:t>
      </w:r>
    </w:p>
    <w:p>
      <w:pPr>
        <w:pStyle w:val="ListBullet"/>
        <w:spacing w:after="60"/>
        <w:ind w:left="360" w:hanging="230"/>
      </w:pPr>
      <w:r>
        <w:t>Correlation identifiers</w:t>
      </w:r>
    </w:p>
    <w:p>
      <w:pPr>
        <w:pStyle w:val="ListBullet"/>
        <w:spacing w:after="60"/>
        <w:ind w:left="360" w:hanging="230"/>
      </w:pPr>
      <w:r>
        <w:t>Test/run ID</w:t>
      </w:r>
    </w:p>
    <w:p>
      <w:pPr>
        <w:pStyle w:val="ListBullet"/>
        <w:spacing w:after="60"/>
        <w:ind w:left="360" w:hanging="230"/>
      </w:pPr>
      <w:r>
        <w:t>Environment</w:t>
      </w:r>
    </w:p>
    <w:p>
      <w:pPr>
        <w:pStyle w:val="ListBullet"/>
        <w:spacing w:after="60"/>
        <w:ind w:left="360" w:hanging="230"/>
      </w:pPr>
      <w:r>
        <w:t>Infrastructure version</w:t>
      </w:r>
    </w:p>
    <w:p>
      <w:pPr>
        <w:pStyle w:val="ListBullet"/>
        <w:spacing w:after="60"/>
        <w:ind w:left="360" w:hanging="230"/>
      </w:pPr>
      <w:r>
        <w:t>Application version</w:t>
      </w:r>
    </w:p>
    <w:p>
      <w:pPr>
        <w:pStyle w:val="ListBullet"/>
        <w:spacing w:after="60"/>
        <w:ind w:left="360" w:hanging="230"/>
      </w:pPr>
      <w:r>
        <w:t>Rule-set version</w:t>
      </w:r>
    </w:p>
    <w:p>
      <w:pPr>
        <w:pStyle w:val="ListBullet"/>
        <w:spacing w:after="60"/>
        <w:ind w:left="360" w:hanging="230"/>
      </w:pPr>
      <w:r>
        <w:t>Model/deployment configuration</w:t>
      </w:r>
    </w:p>
    <w:p>
      <w:pPr>
        <w:pStyle w:val="ListBullet"/>
        <w:spacing w:after="60"/>
        <w:ind w:left="360" w:hanging="230"/>
      </w:pPr>
      <w:r>
        <w:t>Input dataset version</w:t>
      </w:r>
    </w:p>
    <w:p>
      <w:pPr>
        <w:pStyle w:val="ListBullet"/>
        <w:spacing w:after="60"/>
        <w:ind w:left="360" w:hanging="230"/>
      </w:pPr>
      <w:r>
        <w:t>Individual test outcomes</w:t>
      </w:r>
    </w:p>
    <w:p>
      <w:pPr>
        <w:pStyle w:val="ListBullet"/>
        <w:spacing w:after="60"/>
        <w:ind w:left="360" w:hanging="230"/>
      </w:pPr>
      <w:r>
        <w:t>Expected denials</w:t>
      </w:r>
    </w:p>
    <w:p>
      <w:pPr>
        <w:pStyle w:val="ListBullet"/>
        <w:spacing w:after="60"/>
        <w:ind w:left="360" w:hanging="230"/>
      </w:pPr>
      <w:r>
        <w:t>Failures</w:t>
      </w:r>
    </w:p>
    <w:p>
      <w:pPr>
        <w:pStyle w:val="ListBullet"/>
        <w:spacing w:after="60"/>
        <w:ind w:left="360" w:hanging="230"/>
      </w:pPr>
      <w:r>
        <w:t>Cleanup result</w:t>
      </w:r>
    </w:p>
    <w:p>
      <w:pPr>
        <w:pStyle w:val="Heading2"/>
      </w:pPr>
      <w:r>
        <w:t>7.24 Repeatability</w:t>
      </w:r>
    </w:p>
    <w:p>
      <w:r>
        <w:t>A successful test should be repeatable.</w:t>
      </w:r>
    </w:p>
    <w:p>
      <w:r>
        <w:t>The infrastructure methodology calls for controlled environments that can be deployed consistently and removed without leaving orphaned resources.</w:t>
      </w:r>
    </w:p>
    <w:p>
      <w:r>
        <w:t>Repeatability allows DRE to distinguish a stable system property from a one-time successful demonstration.</w:t>
      </w:r>
    </w:p>
    <w:p>
      <w:r>
        <w:t>It also supports change control: when infrastructure or application code changes, the same validation can be rerun and compared with prior results.</w:t>
      </w:r>
    </w:p>
    <w:p>
      <w:pPr>
        <w:pStyle w:val="Heading2"/>
      </w:pPr>
      <w:r>
        <w:t>7.25 Cleanup Validation</w:t>
      </w:r>
    </w:p>
    <w:p>
      <w:r>
        <w:t>Ephemeral validation environments should have a defined cleanup stage.</w:t>
      </w:r>
    </w:p>
    <w:p>
      <w:r>
        <w:t>The existing test methodology specifically calls for removal of test resources according to policy followed by verification that unwanted resources were not left behind.</w:t>
      </w:r>
    </w:p>
    <w:p>
      <w:r>
        <w:t>Cleanup is itself part of the test.</w:t>
      </w:r>
    </w:p>
    <w:p>
      <w:r>
        <w:t>A successful deployment that leaves uncontrolled resources, credentials, storage, or cost behind is not a completely successful validation cycle. DRE_runtests_ts_Relevance_and_Infrastructure_Validation.docx</w:t>
      </w:r>
    </w:p>
    <w:p>
      <w:pPr>
        <w:pStyle w:val="Heading2"/>
      </w:pPr>
      <w:r>
        <w:t>7.26 Recovery Testing</w:t>
      </w:r>
    </w:p>
    <w:p>
      <w:r>
        <w:t>Production assurance eventually requires proving that DRE can recover from failures without corrupting transaction state or losing required evidence.</w:t>
      </w:r>
    </w:p>
    <w:p>
      <w:pPr>
        <w:pStyle w:val="ListBullet"/>
        <w:spacing w:after="60"/>
        <w:ind w:left="360" w:hanging="230"/>
      </w:pPr>
      <w:r>
        <w:t>Infrastructure redeployment</w:t>
      </w:r>
    </w:p>
    <w:p>
      <w:pPr>
        <w:pStyle w:val="ListBullet"/>
        <w:spacing w:after="60"/>
        <w:ind w:left="360" w:hanging="230"/>
      </w:pPr>
      <w:r>
        <w:t>Application restart/recovery</w:t>
      </w:r>
    </w:p>
    <w:p>
      <w:pPr>
        <w:pStyle w:val="ListBullet"/>
        <w:spacing w:after="60"/>
        <w:ind w:left="360" w:hanging="230"/>
      </w:pPr>
      <w:r>
        <w:t>Transaction retry</w:t>
      </w:r>
    </w:p>
    <w:p>
      <w:pPr>
        <w:pStyle w:val="ListBullet"/>
        <w:spacing w:after="60"/>
        <w:ind w:left="360" w:hanging="230"/>
      </w:pPr>
      <w:r>
        <w:t>Queue recovery</w:t>
      </w:r>
    </w:p>
    <w:p>
      <w:pPr>
        <w:pStyle w:val="ListBullet"/>
        <w:spacing w:after="60"/>
        <w:ind w:left="360" w:hanging="230"/>
      </w:pPr>
      <w:r>
        <w:t>Data restoration</w:t>
      </w:r>
    </w:p>
    <w:p>
      <w:pPr>
        <w:pStyle w:val="ListBullet"/>
        <w:spacing w:after="60"/>
        <w:ind w:left="360" w:hanging="230"/>
      </w:pPr>
      <w:r>
        <w:t>Secret/key replacement</w:t>
      </w:r>
    </w:p>
    <w:p>
      <w:pPr>
        <w:pStyle w:val="ListBullet"/>
        <w:spacing w:after="60"/>
        <w:ind w:left="360" w:hanging="230"/>
      </w:pPr>
      <w:r>
        <w:t>Failed consensus recovery</w:t>
      </w:r>
    </w:p>
    <w:p>
      <w:pPr>
        <w:pStyle w:val="ListBullet"/>
        <w:spacing w:after="60"/>
        <w:ind w:left="360" w:hanging="230"/>
      </w:pPr>
      <w:r>
        <w:t>Human-review continuity</w:t>
      </w:r>
    </w:p>
    <w:p>
      <w:pPr>
        <w:pStyle w:val="ListBullet"/>
        <w:spacing w:after="60"/>
        <w:ind w:left="360" w:hanging="230"/>
      </w:pPr>
      <w:r>
        <w:t>Audit-record preservation</w:t>
      </w:r>
    </w:p>
    <w:p>
      <w:pPr>
        <w:pStyle w:val="Heading2"/>
      </w:pPr>
      <w:r>
        <w:t>7.27 Retention Validation</w:t>
      </w:r>
    </w:p>
    <w:p>
      <w:r>
        <w:t>Once retention policies are established, they need tests of their own.</w:t>
      </w:r>
    </w:p>
    <w:p>
      <w:pPr>
        <w:pStyle w:val="ListBullet"/>
        <w:spacing w:after="60"/>
        <w:ind w:left="360" w:hanging="230"/>
      </w:pPr>
      <w:r>
        <w:t>Required evidence remains available for the defined period.</w:t>
      </w:r>
    </w:p>
    <w:p>
      <w:pPr>
        <w:pStyle w:val="ListBullet"/>
        <w:spacing w:after="60"/>
        <w:ind w:left="360" w:hanging="230"/>
      </w:pPr>
      <w:r>
        <w:t>Data scheduled for expiration behaves according to policy.</w:t>
      </w:r>
    </w:p>
    <w:p>
      <w:pPr>
        <w:pStyle w:val="ListBullet"/>
        <w:spacing w:after="60"/>
        <w:ind w:left="360" w:hanging="230"/>
      </w:pPr>
      <w:r>
        <w:t>Backup behavior matches the selected design.</w:t>
      </w:r>
    </w:p>
    <w:p>
      <w:pPr>
        <w:pStyle w:val="ListBullet"/>
        <w:spacing w:after="60"/>
        <w:ind w:left="360" w:hanging="230"/>
      </w:pPr>
      <w:r>
        <w:t>Logs follow the intended retention configuration.</w:t>
      </w:r>
    </w:p>
    <w:p>
      <w:pPr>
        <w:pStyle w:val="ListBullet"/>
        <w:spacing w:after="60"/>
        <w:ind w:left="360" w:hanging="230"/>
      </w:pPr>
      <w:r>
        <w:t>Test/demo data does not silently inherit inappropriate production retention.</w:t>
      </w:r>
    </w:p>
    <w:p>
      <w:pPr>
        <w:pStyle w:val="ListBullet"/>
        <w:spacing w:after="60"/>
        <w:ind w:left="360" w:hanging="230"/>
      </w:pPr>
      <w:r>
        <w:t>Retention changes are controlled and observable.</w:t>
      </w:r>
    </w:p>
    <w:p>
      <w:pPr>
        <w:pStyle w:val="Heading2"/>
      </w:pPr>
      <w:r>
        <w:t>7.28 Change Validation</w:t>
      </w:r>
    </w:p>
    <w:p>
      <w:r>
        <w:t>DRE’s validation suite should become a guardrail against silent architectural regression.</w:t>
      </w:r>
    </w:p>
    <w:p>
      <w:pPr>
        <w:pStyle w:val="ListBullet"/>
        <w:spacing w:after="60"/>
        <w:ind w:left="360" w:hanging="230"/>
      </w:pPr>
      <w:r>
        <w:t>Infrastructure</w:t>
      </w:r>
    </w:p>
    <w:p>
      <w:pPr>
        <w:pStyle w:val="ListBullet"/>
        <w:spacing w:after="60"/>
        <w:ind w:left="360" w:hanging="230"/>
      </w:pPr>
      <w:r>
        <w:t>Connectivity</w:t>
      </w:r>
    </w:p>
    <w:p>
      <w:pPr>
        <w:pStyle w:val="ListBullet"/>
        <w:spacing w:after="60"/>
        <w:ind w:left="360" w:hanging="230"/>
      </w:pPr>
      <w:r>
        <w:t>Authorization</w:t>
      </w:r>
    </w:p>
    <w:p>
      <w:pPr>
        <w:pStyle w:val="ListBullet"/>
        <w:spacing w:after="60"/>
        <w:ind w:left="360" w:hanging="230"/>
      </w:pPr>
      <w:r>
        <w:t>Rule behavior</w:t>
      </w:r>
    </w:p>
    <w:p>
      <w:pPr>
        <w:pStyle w:val="ListBullet"/>
        <w:spacing w:after="60"/>
        <w:ind w:left="360" w:hanging="230"/>
      </w:pPr>
      <w:r>
        <w:t>Financial calculation</w:t>
      </w:r>
    </w:p>
    <w:p>
      <w:pPr>
        <w:pStyle w:val="ListBullet"/>
        <w:spacing w:after="60"/>
        <w:ind w:left="360" w:hanging="230"/>
      </w:pPr>
      <w:r>
        <w:t>Consensus routing</w:t>
      </w:r>
    </w:p>
    <w:p>
      <w:pPr>
        <w:pStyle w:val="ListBullet"/>
        <w:spacing w:after="60"/>
        <w:ind w:left="360" w:hanging="230"/>
      </w:pPr>
      <w:r>
        <w:t>Failure handling</w:t>
      </w:r>
    </w:p>
    <w:p>
      <w:pPr>
        <w:pStyle w:val="ListBullet"/>
        <w:spacing w:after="60"/>
        <w:ind w:left="360" w:hanging="230"/>
      </w:pPr>
      <w:r>
        <w:t>Audit evidence</w:t>
      </w:r>
    </w:p>
    <w:p>
      <w:pPr>
        <w:pStyle w:val="ListBullet"/>
        <w:spacing w:after="60"/>
        <w:ind w:left="360" w:hanging="230"/>
      </w:pPr>
      <w:r>
        <w:t>Output structure</w:t>
      </w:r>
    </w:p>
    <w:p>
      <w:pPr>
        <w:pStyle w:val="Heading2"/>
      </w:pPr>
      <w:r>
        <w:t>7.29 Production-Readiness Criteria</w:t>
      </w:r>
    </w:p>
    <w:p>
      <w:r>
        <w:t>Production readiness should be an evidence state, not simply a calendar milestone.</w:t>
      </w:r>
    </w:p>
    <w:p>
      <w:r>
        <w:t>A production-ready DRE deployment will ultimately require demonstrated evidence across several dimensions:</w:t>
      </w:r>
    </w:p>
    <w:p>
      <w:pPr>
        <w:pStyle w:val="ListBullet"/>
        <w:spacing w:after="60"/>
        <w:ind w:left="360" w:hanging="230"/>
      </w:pPr>
      <w:r>
        <w:t>Infrastructure deploys repeatably.</w:t>
      </w:r>
    </w:p>
    <w:p>
      <w:pPr>
        <w:pStyle w:val="ListBullet"/>
        <w:spacing w:after="60"/>
        <w:ind w:left="360" w:hanging="230"/>
      </w:pPr>
      <w:r>
        <w:t>Required services are configured.</w:t>
      </w:r>
    </w:p>
    <w:p>
      <w:pPr>
        <w:pStyle w:val="ListBullet"/>
        <w:spacing w:after="60"/>
        <w:ind w:left="360" w:hanging="230"/>
      </w:pPr>
      <w:r>
        <w:t>Private connectivity functions as designed.</w:t>
      </w:r>
    </w:p>
    <w:p>
      <w:pPr>
        <w:pStyle w:val="ListBullet"/>
        <w:spacing w:after="60"/>
        <w:ind w:left="360" w:hanging="230"/>
      </w:pPr>
      <w:r>
        <w:t>Unauthorized paths fail.</w:t>
      </w:r>
    </w:p>
    <w:p>
      <w:pPr>
        <w:pStyle w:val="ListBullet"/>
        <w:spacing w:after="60"/>
        <w:ind w:left="360" w:hanging="230"/>
      </w:pPr>
      <w:r>
        <w:t>Identity and RBAC behave correctly.</w:t>
      </w:r>
    </w:p>
    <w:p>
      <w:pPr>
        <w:pStyle w:val="ListBullet"/>
        <w:spacing w:after="60"/>
        <w:ind w:left="360" w:hanging="230"/>
      </w:pPr>
      <w:r>
        <w:t>Secrets are appropriately protected.</w:t>
      </w:r>
    </w:p>
    <w:p>
      <w:pPr>
        <w:pStyle w:val="ListBullet"/>
        <w:spacing w:after="60"/>
        <w:ind w:left="360" w:hanging="230"/>
      </w:pPr>
      <w:r>
        <w:t>Deterministic rules pass expected test cases.</w:t>
      </w:r>
    </w:p>
    <w:p>
      <w:pPr>
        <w:pStyle w:val="ListBullet"/>
        <w:spacing w:after="60"/>
        <w:ind w:left="360" w:hanging="230"/>
      </w:pPr>
      <w:r>
        <w:t>Consensus behavior has been evaluated against representative exceptions.</w:t>
      </w:r>
    </w:p>
    <w:p>
      <w:pPr>
        <w:pStyle w:val="ListBullet"/>
        <w:spacing w:after="60"/>
        <w:ind w:left="360" w:hanging="230"/>
      </w:pPr>
      <w:r>
        <w:t>Referee logic behaves deterministically.</w:t>
      </w:r>
    </w:p>
    <w:p>
      <w:pPr>
        <w:pStyle w:val="ListBullet"/>
        <w:spacing w:after="60"/>
        <w:ind w:left="360" w:hanging="230"/>
      </w:pPr>
      <w:r>
        <w:t>Financial calculations are accurate.</w:t>
      </w:r>
    </w:p>
    <w:p>
      <w:pPr>
        <w:pStyle w:val="ListBullet"/>
        <w:spacing w:after="60"/>
        <w:ind w:left="360" w:hanging="230"/>
      </w:pPr>
      <w:r>
        <w:t>Human-review routing works.</w:t>
      </w:r>
    </w:p>
    <w:p>
      <w:pPr>
        <w:pStyle w:val="ListBullet"/>
        <w:spacing w:after="60"/>
        <w:ind w:left="360" w:hanging="230"/>
      </w:pPr>
      <w:r>
        <w:t>Audit evidence is preserved.</w:t>
      </w:r>
    </w:p>
    <w:p>
      <w:pPr>
        <w:pStyle w:val="ListBullet"/>
        <w:spacing w:after="60"/>
        <w:ind w:left="360" w:hanging="230"/>
      </w:pPr>
      <w:r>
        <w:t>Monitoring is operational.</w:t>
      </w:r>
    </w:p>
    <w:p>
      <w:pPr>
        <w:pStyle w:val="ListBullet"/>
        <w:spacing w:after="60"/>
        <w:ind w:left="360" w:hanging="230"/>
      </w:pPr>
      <w:r>
        <w:t>Failure states are controlled.</w:t>
      </w:r>
    </w:p>
    <w:p>
      <w:pPr>
        <w:pStyle w:val="ListBullet"/>
        <w:spacing w:after="60"/>
        <w:ind w:left="360" w:hanging="230"/>
      </w:pPr>
      <w:r>
        <w:t>Recovery has been tested.</w:t>
      </w:r>
    </w:p>
    <w:p>
      <w:pPr>
        <w:pStyle w:val="ListBullet"/>
        <w:spacing w:after="60"/>
        <w:ind w:left="360" w:hanging="230"/>
      </w:pPr>
      <w:r>
        <w:t>Retention behavior has been validated.</w:t>
      </w:r>
    </w:p>
    <w:p>
      <w:pPr>
        <w:pStyle w:val="ListBullet"/>
        <w:spacing w:after="60"/>
        <w:ind w:left="360" w:hanging="230"/>
      </w:pPr>
      <w:r>
        <w:t>Environment changes are reviewable.</w:t>
      </w:r>
    </w:p>
    <w:p>
      <w:pPr>
        <w:pStyle w:val="ListBullet"/>
        <w:spacing w:after="60"/>
        <w:ind w:left="360" w:hanging="230"/>
      </w:pPr>
      <w:r>
        <w:t>Customer operating responsibilities are documented.</w:t>
      </w:r>
    </w:p>
    <w:p>
      <w:r>
        <w:t>The current system should not be described as having met those production criteria until the corresponding implementation and evidence exist.</w:t>
      </w:r>
    </w:p>
    <w:p>
      <w:pPr>
        <w:pStyle w:val="Heading2"/>
      </w:pPr>
      <w:r>
        <w:t>7.30 Assurance Progression</w:t>
      </w:r>
    </w:p>
    <w:p>
      <w:r>
        <w:t>DRE’s assurance progression can be represented as:</w:t>
      </w:r>
    </w:p>
    <w:tbl>
      <w:tblPr>
        <w:tblW w:type="auto" w:w="0"/>
        <w:jc w:val="center"/>
        <w:tblLayout w:type="fixed"/>
        <w:tblLook w:firstColumn="1" w:firstRow="1" w:lastColumn="0" w:lastRow="0" w:noHBand="0" w:noVBand="1" w:val="04A0"/>
      </w:tblPr>
      <w:tblGrid>
        <w:gridCol w:w="173"/>
        <w:gridCol w:w="9475"/>
      </w:tblGrid>
      <w:tr>
        <w:tc>
          <w:tcPr>
            <w:tcW w:type="dxa" w:w="4939"/>
            <w:shd w:fill="2E7D7A"/>
          </w:tcPr>
          <w:p>
            <w:r/>
          </w:p>
        </w:tc>
        <w:tc>
          <w:tcPr>
            <w:tcW w:type="dxa" w:w="4939"/>
            <w:shd w:fill="EAF1F5"/>
            <w:tcMar>
              <w:top w:w="160" w:type="dxa"/>
              <w:start w:w="160" w:type="dxa"/>
              <w:bottom w:w="160" w:type="dxa"/>
              <w:end w:w="160" w:type="dxa"/>
            </w:tcMar>
          </w:tcPr>
          <w:p>
            <w:pPr>
              <w:pStyle w:val="Callout"/>
            </w:pPr>
            <w:r>
              <w:rPr>
                <w:color w:val="2E7D7A"/>
                <w:sz w:val="16"/>
              </w:rPr>
              <w:t>ASSURANCE PROGRESSION</w:t>
              <w:br/>
            </w:r>
            <w:r>
              <w:t>Define the expected control → implement the control → test the control → capture the evidence → test the failure case → repeat after change.</w:t>
            </w:r>
          </w:p>
        </w:tc>
      </w:tr>
    </w:tbl>
    <w:p/>
    <w:p>
      <w:r>
        <w:t>For infrastructure:</w:t>
      </w:r>
    </w:p>
    <w:p>
      <w:r>
        <w:t>Bicep definition → Azure deployment → property assertion → connectivity/access test → evidence record.</w:t>
      </w:r>
    </w:p>
    <w:p>
      <w:r>
        <w:t>For deterministic processing:</w:t>
      </w:r>
    </w:p>
    <w:p>
      <w:r>
        <w:t>Rule definition → known input → expected output → exact comparison → regression test.</w:t>
      </w:r>
    </w:p>
    <w:p>
      <w:r>
        <w:t>For semantic processing:</w:t>
      </w:r>
    </w:p>
    <w:p>
      <w:r>
        <w:t>Representative exception → agent evaluations → structured votes → deterministic referee → expected routing → human evaluation of usefulness.</w:t>
      </w:r>
    </w:p>
    <w:p>
      <w:r>
        <w:t>For the complete product:</w:t>
      </w:r>
    </w:p>
    <w:p>
      <w:r>
        <w:t>Representative legal-billing file → DRE processing → separated results → preserved evidence → human disposition where required.</w:t>
      </w:r>
    </w:p>
    <w:p>
      <w:r>
        <w:t>That progression is how DRE moves from an architecture that is described to a system whose behavior can be demonstrated and defended.</w:t>
      </w:r>
    </w:p>
    <w:p>
      <w:r>
        <w:br w:type="page"/>
      </w:r>
    </w:p>
    <w:p>
      <w:pPr>
        <w:pStyle w:val="Heading1"/>
      </w:pPr>
      <w:r>
        <w:t>8. Working Demonstration</w:t>
      </w:r>
    </w:p>
    <w:p>
      <w:r>
        <w:t>The DRE working demonstration is the bridge between documented architecture and observable product behavior.</w:t>
      </w:r>
    </w:p>
    <w:p>
      <w:r>
        <w:t>Its purpose is not to simulate a finished enterprise deployment. Its purpose is to allow an evaluator to interact with DRE’s core legal-billing review workflow using controlled synthetic data and see the fundamental product proposition operate:</w:t>
      </w:r>
    </w:p>
    <w:p>
      <w:r>
        <w:t>One legal-billing file in. Two result files out.</w:t>
      </w:r>
    </w:p>
    <w:p>
      <w:r>
        <w:t>The demonstration should make DRE understandable without requiring the evaluator to understand the underlying TypeScript components, Azure architecture, consensus implementation, or OCG rule engine.</w:t>
      </w:r>
    </w:p>
    <w:p>
      <w:r>
        <w:t>At the same time, it should expose enough processing information to demonstrate that the result came from an actual review path rather than from a predetermined animation or static mockup.</w:t>
      </w:r>
    </w:p>
    <w:tbl>
      <w:tblPr>
        <w:tblW w:type="auto" w:w="0"/>
        <w:jc w:val="center"/>
        <w:tblLayout w:type="fixed"/>
        <w:tblLook w:firstColumn="1" w:firstRow="1" w:lastColumn="0" w:lastRow="0" w:noHBand="0" w:noVBand="1" w:val="04A0"/>
      </w:tblPr>
      <w:tblGrid>
        <w:gridCol w:w="173"/>
        <w:gridCol w:w="9475"/>
      </w:tblGrid>
      <w:tr>
        <w:tc>
          <w:tcPr>
            <w:tcW w:type="dxa" w:w="4939"/>
            <w:shd w:fill="2E7D7A"/>
          </w:tcPr>
          <w:p>
            <w:r/>
          </w:p>
        </w:tc>
        <w:tc>
          <w:tcPr>
            <w:tcW w:type="dxa" w:w="4939"/>
            <w:shd w:fill="EAF1F5"/>
            <w:tcMar>
              <w:top w:w="160" w:type="dxa"/>
              <w:start w:w="160" w:type="dxa"/>
              <w:bottom w:w="160" w:type="dxa"/>
              <w:end w:w="160" w:type="dxa"/>
            </w:tcMar>
          </w:tcPr>
          <w:p>
            <w:pPr>
              <w:pStyle w:val="Callout"/>
            </w:pPr>
            <w:r>
              <w:rPr>
                <w:color w:val="2E7D7A"/>
                <w:sz w:val="16"/>
              </w:rPr>
              <w:t>WORKING DEMONSTRATION</w:t>
              <w:br/>
            </w:r>
            <w:r>
              <w:t>One legal-billing file in. Two result files out.</w:t>
            </w:r>
          </w:p>
        </w:tc>
      </w:tr>
    </w:tbl>
    <w:p/>
    <w:p>
      <w:pPr>
        <w:pStyle w:val="Heading2"/>
      </w:pPr>
      <w:r>
        <w:t>8.1 Demonstration Objective</w:t>
      </w:r>
    </w:p>
    <w:p>
      <w:r>
        <w:t>The working demo is intended to prove the core DRE experience:</w:t>
      </w:r>
    </w:p>
    <w:p>
      <w:pPr>
        <w:pStyle w:val="ListBullet"/>
        <w:spacing w:after="60"/>
        <w:ind w:left="360" w:hanging="230"/>
      </w:pPr>
      <w:r>
        <w:t>What entered DRE</w:t>
      </w:r>
    </w:p>
    <w:p>
      <w:pPr>
        <w:pStyle w:val="ListBullet"/>
        <w:spacing w:after="60"/>
        <w:ind w:left="360" w:hanging="230"/>
      </w:pPr>
      <w:r>
        <w:t>How many transactions were reviewed</w:t>
      </w:r>
    </w:p>
    <w:p>
      <w:pPr>
        <w:pStyle w:val="ListBullet"/>
        <w:spacing w:after="60"/>
        <w:ind w:left="360" w:hanging="230"/>
      </w:pPr>
      <w:r>
        <w:t>Which transactions were resolved through deterministic processing</w:t>
      </w:r>
    </w:p>
    <w:p>
      <w:pPr>
        <w:pStyle w:val="ListBullet"/>
        <w:spacing w:after="60"/>
        <w:ind w:left="360" w:hanging="230"/>
      </w:pPr>
      <w:r>
        <w:t>Which transactions required consensus review</w:t>
      </w:r>
    </w:p>
    <w:p>
      <w:pPr>
        <w:pStyle w:val="ListBullet"/>
        <w:spacing w:after="60"/>
        <w:ind w:left="360" w:hanging="230"/>
      </w:pPr>
      <w:r>
        <w:t>Which transactions cleared applicable automated review</w:t>
      </w:r>
    </w:p>
    <w:p>
      <w:pPr>
        <w:pStyle w:val="ListBullet"/>
        <w:spacing w:after="60"/>
        <w:ind w:left="360" w:hanging="230"/>
      </w:pPr>
      <w:r>
        <w:t>Which transactions require human review</w:t>
      </w:r>
    </w:p>
    <w:p>
      <w:pPr>
        <w:pStyle w:val="ListBullet"/>
        <w:spacing w:after="60"/>
        <w:ind w:left="360" w:hanging="230"/>
      </w:pPr>
      <w:r>
        <w:t>What DRE found</w:t>
      </w:r>
    </w:p>
    <w:p>
      <w:pPr>
        <w:pStyle w:val="ListBullet"/>
        <w:spacing w:after="60"/>
        <w:ind w:left="360" w:hanging="230"/>
      </w:pPr>
      <w:r>
        <w:t>Why a transaction was treated as it was</w:t>
      </w:r>
    </w:p>
    <w:p>
      <w:pPr>
        <w:pStyle w:val="ListBullet"/>
        <w:spacing w:after="60"/>
        <w:ind w:left="360" w:hanging="230"/>
      </w:pPr>
      <w:r>
        <w:t>What output DRE produced</w:t>
      </w:r>
    </w:p>
    <w:tbl>
      <w:tblPr>
        <w:tblW w:type="auto" w:w="0"/>
        <w:jc w:val="center"/>
        <w:tblLayout w:type="fixed"/>
        <w:tblLook w:firstColumn="1" w:firstRow="1" w:lastColumn="0" w:lastRow="0" w:noHBand="0" w:noVBand="1" w:val="04A0"/>
      </w:tblPr>
      <w:tblGrid>
        <w:gridCol w:w="173"/>
        <w:gridCol w:w="9475"/>
      </w:tblGrid>
      <w:tr>
        <w:tc>
          <w:tcPr>
            <w:tcW w:type="dxa" w:w="4939"/>
            <w:shd w:fill="2E7D7A"/>
          </w:tcPr>
          <w:p>
            <w:r/>
          </w:p>
        </w:tc>
        <w:tc>
          <w:tcPr>
            <w:tcW w:type="dxa" w:w="4939"/>
            <w:shd w:fill="EAF1F5"/>
            <w:tcMar>
              <w:top w:w="160" w:type="dxa"/>
              <w:start w:w="160" w:type="dxa"/>
              <w:bottom w:w="160" w:type="dxa"/>
              <w:end w:w="160" w:type="dxa"/>
            </w:tcMar>
          </w:tcPr>
          <w:p>
            <w:pPr>
              <w:pStyle w:val="Callout"/>
            </w:pPr>
            <w:r>
              <w:rPr>
                <w:color w:val="2E7D7A"/>
                <w:sz w:val="16"/>
              </w:rPr>
              <w:t>CORE DEMO EXPERIENCE</w:t>
              <w:br/>
            </w:r>
            <w:r>
              <w:t>Provide a legal-billing file → process the billing transactions → apply deterministic review → invoke consensus where applicable → isolate items requiring human attention → return separated results.</w:t>
            </w:r>
          </w:p>
        </w:tc>
      </w:tr>
    </w:tbl>
    <w:p/>
    <w:p>
      <w:pPr>
        <w:pStyle w:val="Heading2"/>
      </w:pPr>
      <w:r>
        <w:t>8.2 Demonstration Data Boundary</w:t>
      </w:r>
    </w:p>
    <w:p>
      <w:r>
        <w:t>The public demonstration uses synthetic legal-billing data supplied with the demo.</w:t>
      </w:r>
    </w:p>
    <w:p>
      <w:pPr>
        <w:pStyle w:val="ListBullet"/>
        <w:spacing w:after="60"/>
        <w:ind w:left="360" w:hanging="230"/>
      </w:pPr>
      <w:r>
        <w:t>Use the supplied sample legal-billing file here. Actual customer billing data is processed within the customer’s Azure environment.</w:t>
      </w:r>
    </w:p>
    <w:p>
      <w:r>
        <w:t>It is not intended as a public intake mechanism for actual customer matter data.</w:t>
      </w:r>
    </w:p>
    <w:p>
      <w:r>
        <w:t>The evaluator selects or drags the supplied sample billing file into the demonstration.</w:t>
      </w:r>
    </w:p>
    <w:p>
      <w:r>
        <w:t>This boundary is important because the public demo is not the customer’s production Azure environment.</w:t>
      </w:r>
    </w:p>
    <w:p>
      <w:r>
        <w:t>Actual customer matter data belongs in the secure customer deployment model described elsewhere in the DRE architecture.</w:t>
      </w:r>
    </w:p>
    <w:p>
      <w:r>
        <w:t>The public demonstration should therefore make the distinction clear:</w:t>
      </w:r>
    </w:p>
    <w:p>
      <w:pPr>
        <w:pStyle w:val="Heading2"/>
      </w:pPr>
      <w:r>
        <w:t>8.3 Current Synthetic Legal-Billing Dataset</w:t>
      </w:r>
    </w:p>
    <w:p>
      <w:r>
        <w:t>The current DRE source material contains three representative synthetic legal-billing transactions.</w:t>
      </w:r>
    </w:p>
    <w:tbl>
      <w:tblPr>
        <w:tblStyle w:val="TableGrid"/>
        <w:tblW w:type="auto" w:w="0"/>
        <w:jc w:val="center"/>
        <w:tblLayout w:type="fixed"/>
        <w:tblLook w:firstColumn="1" w:firstRow="1" w:lastColumn="0" w:lastRow="0" w:noHBand="0" w:noVBand="1" w:val="04A0"/>
      </w:tblPr>
      <w:tblGrid>
        <w:gridCol w:w="3293"/>
        <w:gridCol w:w="3293"/>
        <w:gridCol w:w="3293"/>
      </w:tblGrid>
      <w:tr>
        <w:tc>
          <w:tcPr>
            <w:tcW w:type="dxa" w:w="3293"/>
            <w:vAlign w:val="center"/>
            <w:tcMar>
              <w:top w:w="100" w:type="dxa"/>
              <w:start w:w="100" w:type="dxa"/>
              <w:bottom w:w="100" w:type="dxa"/>
              <w:end w:w="100" w:type="dxa"/>
            </w:tcMar>
            <w:shd w:fill="16324F"/>
          </w:tcPr>
          <w:p>
            <w:pPr>
              <w:spacing w:after="0"/>
              <w:jc w:val="left"/>
            </w:pPr>
            <w:r/>
            <w:r>
              <w:rPr>
                <w:rFonts w:ascii="Aptos" w:hAnsi="Aptos"/>
                <w:b/>
                <w:color w:val="FFFFFF"/>
                <w:sz w:val="16"/>
              </w:rPr>
              <w:t>Transaction</w:t>
            </w:r>
          </w:p>
        </w:tc>
        <w:tc>
          <w:tcPr>
            <w:tcW w:type="dxa" w:w="3293"/>
            <w:vAlign w:val="center"/>
            <w:tcMar>
              <w:top w:w="100" w:type="dxa"/>
              <w:start w:w="100" w:type="dxa"/>
              <w:bottom w:w="100" w:type="dxa"/>
              <w:end w:w="100" w:type="dxa"/>
            </w:tcMar>
            <w:shd w:fill="16324F"/>
          </w:tcPr>
          <w:p>
            <w:pPr>
              <w:spacing w:after="0"/>
              <w:jc w:val="left"/>
            </w:pPr>
            <w:r/>
            <w:r>
              <w:rPr>
                <w:rFonts w:ascii="Aptos" w:hAnsi="Aptos"/>
                <w:b/>
                <w:color w:val="FFFFFF"/>
                <w:sz w:val="16"/>
              </w:rPr>
              <w:t>Timekeeper / rate / hours</w:t>
            </w:r>
          </w:p>
        </w:tc>
        <w:tc>
          <w:tcPr>
            <w:tcW w:type="dxa" w:w="3293"/>
            <w:vAlign w:val="center"/>
            <w:tcMar>
              <w:top w:w="100" w:type="dxa"/>
              <w:start w:w="100" w:type="dxa"/>
              <w:bottom w:w="100" w:type="dxa"/>
              <w:end w:w="100" w:type="dxa"/>
            </w:tcMar>
            <w:shd w:fill="16324F"/>
          </w:tcPr>
          <w:p>
            <w:pPr>
              <w:spacing w:after="0"/>
              <w:jc w:val="left"/>
            </w:pPr>
            <w:r/>
            <w:r>
              <w:rPr>
                <w:rFonts w:ascii="Aptos" w:hAnsi="Aptos"/>
                <w:b/>
                <w:color w:val="FFFFFF"/>
                <w:sz w:val="16"/>
              </w:rPr>
              <w:t>Narrative includes</w:t>
            </w:r>
          </w:p>
        </w:tc>
      </w:tr>
      <w:tr>
        <w:tc>
          <w:tcPr>
            <w:tcW w:type="dxa" w:w="3293"/>
            <w:vAlign w:val="center"/>
            <w:tcMar>
              <w:top w:w="100" w:type="dxa"/>
              <w:start w:w="100" w:type="dxa"/>
              <w:bottom w:w="100" w:type="dxa"/>
              <w:end w:w="100" w:type="dxa"/>
            </w:tcMar>
            <w:shd w:fill="FFFFFF"/>
          </w:tcPr>
          <w:p>
            <w:pPr>
              <w:spacing w:after="0"/>
              <w:jc w:val="left"/>
            </w:pPr>
            <w:r/>
            <w:r>
              <w:rPr>
                <w:rFonts w:ascii="Aptos" w:hAnsi="Aptos"/>
                <w:b w:val="0"/>
                <w:color w:val="24313C"/>
                <w:sz w:val="16"/>
              </w:rPr>
              <w:t>TX-1001</w:t>
            </w:r>
          </w:p>
        </w:tc>
        <w:tc>
          <w:tcPr>
            <w:tcW w:type="dxa" w:w="3293"/>
            <w:vAlign w:val="center"/>
            <w:tcMar>
              <w:top w:w="100" w:type="dxa"/>
              <w:start w:w="100" w:type="dxa"/>
              <w:bottom w:w="100" w:type="dxa"/>
              <w:end w:w="100" w:type="dxa"/>
            </w:tcMar>
            <w:shd w:fill="FFFFFF"/>
          </w:tcPr>
          <w:p>
            <w:pPr>
              <w:spacing w:after="0"/>
              <w:jc w:val="left"/>
            </w:pPr>
            <w:r/>
            <w:r>
              <w:rPr>
                <w:rFonts w:ascii="Aptos" w:hAnsi="Aptos"/>
                <w:b w:val="0"/>
                <w:color w:val="24313C"/>
                <w:sz w:val="16"/>
              </w:rPr>
              <w:t>Partner / $850 / 3.2</w:t>
            </w:r>
          </w:p>
        </w:tc>
        <w:tc>
          <w:tcPr>
            <w:tcW w:type="dxa" w:w="3293"/>
            <w:vAlign w:val="center"/>
            <w:tcMar>
              <w:top w:w="100" w:type="dxa"/>
              <w:start w:w="100" w:type="dxa"/>
              <w:bottom w:w="100" w:type="dxa"/>
              <w:end w:w="100" w:type="dxa"/>
            </w:tcMar>
            <w:shd w:fill="FFFFFF"/>
          </w:tcPr>
          <w:p>
            <w:pPr>
              <w:spacing w:after="0"/>
              <w:jc w:val="left"/>
            </w:pPr>
            <w:r/>
            <w:r>
              <w:rPr>
                <w:rFonts w:ascii="Aptos" w:hAnsi="Aptos"/>
                <w:b w:val="0"/>
                <w:color w:val="24313C"/>
                <w:sz w:val="16"/>
              </w:rPr>
              <w:t>internal alignment, printing defense binders, and broad legal research.</w:t>
            </w:r>
          </w:p>
        </w:tc>
      </w:tr>
      <w:tr>
        <w:tc>
          <w:tcPr>
            <w:tcW w:type="dxa" w:w="3293"/>
            <w:vAlign w:val="center"/>
            <w:tcMar>
              <w:top w:w="100" w:type="dxa"/>
              <w:start w:w="100" w:type="dxa"/>
              <w:bottom w:w="100" w:type="dxa"/>
              <w:end w:w="100" w:type="dxa"/>
            </w:tcMar>
            <w:shd w:fill="F4F7F9"/>
          </w:tcPr>
          <w:p>
            <w:pPr>
              <w:spacing w:after="0"/>
              <w:jc w:val="left"/>
            </w:pPr>
            <w:r/>
            <w:r>
              <w:rPr>
                <w:rFonts w:ascii="Aptos" w:hAnsi="Aptos"/>
                <w:b w:val="0"/>
                <w:color w:val="24313C"/>
                <w:sz w:val="16"/>
              </w:rPr>
              <w:t>TX-1002</w:t>
            </w:r>
          </w:p>
        </w:tc>
        <w:tc>
          <w:tcPr>
            <w:tcW w:type="dxa" w:w="3293"/>
            <w:vAlign w:val="center"/>
            <w:tcMar>
              <w:top w:w="100" w:type="dxa"/>
              <w:start w:w="100" w:type="dxa"/>
              <w:bottom w:w="100" w:type="dxa"/>
              <w:end w:w="100" w:type="dxa"/>
            </w:tcMar>
            <w:shd w:fill="F4F7F9"/>
          </w:tcPr>
          <w:p>
            <w:pPr>
              <w:spacing w:after="0"/>
              <w:jc w:val="left"/>
            </w:pPr>
            <w:r/>
            <w:r>
              <w:rPr>
                <w:rFonts w:ascii="Aptos" w:hAnsi="Aptos"/>
                <w:b w:val="0"/>
                <w:color w:val="24313C"/>
                <w:sz w:val="16"/>
              </w:rPr>
              <w:t>Senior Associate / $600 / 5.0</w:t>
            </w:r>
          </w:p>
        </w:tc>
        <w:tc>
          <w:tcPr>
            <w:tcW w:type="dxa" w:w="3293"/>
            <w:vAlign w:val="center"/>
            <w:tcMar>
              <w:top w:w="100" w:type="dxa"/>
              <w:start w:w="100" w:type="dxa"/>
              <w:bottom w:w="100" w:type="dxa"/>
              <w:end w:w="100" w:type="dxa"/>
            </w:tcMar>
            <w:shd w:fill="F4F7F9"/>
          </w:tcPr>
          <w:p>
            <w:pPr>
              <w:spacing w:after="0"/>
              <w:jc w:val="left"/>
            </w:pPr>
            <w:r/>
            <w:r>
              <w:rPr>
                <w:rFonts w:ascii="Aptos" w:hAnsi="Aptos"/>
                <w:b w:val="0"/>
                <w:color w:val="24313C"/>
                <w:sz w:val="16"/>
              </w:rPr>
              <w:t>drafting a summary-judgment response, photocopying client files, and reviewing discovery requests.</w:t>
            </w:r>
          </w:p>
        </w:tc>
      </w:tr>
      <w:tr>
        <w:tc>
          <w:tcPr>
            <w:tcW w:type="dxa" w:w="3293"/>
            <w:vAlign w:val="center"/>
            <w:tcMar>
              <w:top w:w="100" w:type="dxa"/>
              <w:start w:w="100" w:type="dxa"/>
              <w:bottom w:w="100" w:type="dxa"/>
              <w:end w:w="100" w:type="dxa"/>
            </w:tcMar>
            <w:shd w:fill="FFFFFF"/>
          </w:tcPr>
          <w:p>
            <w:pPr>
              <w:spacing w:after="0"/>
              <w:jc w:val="left"/>
            </w:pPr>
            <w:r/>
            <w:r>
              <w:rPr>
                <w:rFonts w:ascii="Aptos" w:hAnsi="Aptos"/>
                <w:b w:val="0"/>
                <w:color w:val="24313C"/>
                <w:sz w:val="16"/>
              </w:rPr>
              <w:t>TX-1003</w:t>
            </w:r>
          </w:p>
        </w:tc>
        <w:tc>
          <w:tcPr>
            <w:tcW w:type="dxa" w:w="3293"/>
            <w:vAlign w:val="center"/>
            <w:tcMar>
              <w:top w:w="100" w:type="dxa"/>
              <w:start w:w="100" w:type="dxa"/>
              <w:bottom w:w="100" w:type="dxa"/>
              <w:end w:w="100" w:type="dxa"/>
            </w:tcMar>
            <w:shd w:fill="FFFFFF"/>
          </w:tcPr>
          <w:p>
            <w:pPr>
              <w:spacing w:after="0"/>
              <w:jc w:val="left"/>
            </w:pPr>
            <w:r/>
            <w:r>
              <w:rPr>
                <w:rFonts w:ascii="Aptos" w:hAnsi="Aptos"/>
                <w:b w:val="0"/>
                <w:color w:val="24313C"/>
                <w:sz w:val="16"/>
              </w:rPr>
              <w:t>Junior Associate / $450 / 2.5</w:t>
            </w:r>
          </w:p>
        </w:tc>
        <w:tc>
          <w:tcPr>
            <w:tcW w:type="dxa" w:w="3293"/>
            <w:vAlign w:val="center"/>
            <w:tcMar>
              <w:top w:w="100" w:type="dxa"/>
              <w:start w:w="100" w:type="dxa"/>
              <w:bottom w:w="100" w:type="dxa"/>
              <w:end w:w="100" w:type="dxa"/>
            </w:tcMar>
            <w:shd w:fill="FFFFFF"/>
          </w:tcPr>
          <w:p>
            <w:pPr>
              <w:spacing w:after="0"/>
              <w:jc w:val="left"/>
            </w:pPr>
            <w:r/>
            <w:r>
              <w:rPr>
                <w:rFonts w:ascii="Aptos" w:hAnsi="Aptos"/>
                <w:b w:val="0"/>
                <w:color w:val="24313C"/>
                <w:sz w:val="16"/>
              </w:rPr>
              <w:t>file preparation and scanning evidentiary documents.</w:t>
            </w:r>
          </w:p>
        </w:tc>
      </w:tr>
    </w:tbl>
    <w:p/>
    <w:p>
      <w:r>
        <w:t>The sample data deliberately contains conditions capable of exercising the deterministic rule layer and semantic-review pathway.</w:t>
      </w:r>
    </w:p>
    <w:p>
      <w:pPr>
        <w:pStyle w:val="Heading2"/>
      </w:pPr>
      <w:r>
        <w:t>8.4 Demonstration Intake</w:t>
      </w:r>
    </w:p>
    <w:p>
      <w:r>
        <w:t>The customer-facing intake should be deliberately simple.</w:t>
      </w:r>
    </w:p>
    <w:p>
      <w:pPr>
        <w:pStyle w:val="ListBullet"/>
        <w:spacing w:after="60"/>
        <w:ind w:left="360" w:hanging="230"/>
      </w:pPr>
      <w:r>
        <w:t>1. Obtain/select the supplied synthetic sample file.</w:t>
      </w:r>
    </w:p>
    <w:p>
      <w:pPr>
        <w:pStyle w:val="ListBullet"/>
        <w:spacing w:after="60"/>
        <w:ind w:left="360" w:hanging="230"/>
      </w:pPr>
      <w:r>
        <w:t>2. Drag or select the file in the DRE interface.</w:t>
      </w:r>
    </w:p>
    <w:p>
      <w:pPr>
        <w:pStyle w:val="ListBullet"/>
        <w:spacing w:after="60"/>
        <w:ind w:left="360" w:hanging="230"/>
      </w:pPr>
      <w:r>
        <w:t>3. Start processing.</w:t>
      </w:r>
    </w:p>
    <w:p>
      <w:pPr>
        <w:pStyle w:val="ListBullet"/>
        <w:spacing w:after="60"/>
        <w:ind w:left="360" w:hanging="230"/>
      </w:pPr>
      <w:r>
        <w:t>4. Observe the processing result.</w:t>
      </w:r>
    </w:p>
    <w:p>
      <w:pPr>
        <w:pStyle w:val="ListBullet"/>
        <w:spacing w:after="60"/>
        <w:ind w:left="360" w:hanging="230"/>
      </w:pPr>
      <w:r>
        <w:t>5. Review the resulting transaction groups.</w:t>
      </w:r>
    </w:p>
    <w:p>
      <w:pPr>
        <w:pStyle w:val="ListBullet"/>
        <w:spacing w:after="60"/>
        <w:ind w:left="360" w:hanging="230"/>
      </w:pPr>
      <w:r>
        <w:t>6. Download the resulting files.</w:t>
      </w:r>
    </w:p>
    <w:p>
      <w:r>
        <w:t>The evaluator should not need to configure infrastructure, establish an Azure connection, create a matter, build a workflow, configure a CRM, or navigate an enterprise administration interface before seeing DRE operate.</w:t>
      </w:r>
    </w:p>
    <w:p>
      <w:r>
        <w:t>The complexity belongs behind the interface.</w:t>
      </w:r>
    </w:p>
    <w:tbl>
      <w:tblPr>
        <w:tblW w:type="auto" w:w="0"/>
        <w:jc w:val="center"/>
        <w:tblLayout w:type="fixed"/>
        <w:tblLook w:firstColumn="1" w:firstRow="1" w:lastColumn="0" w:lastRow="0" w:noHBand="0" w:noVBand="1" w:val="04A0"/>
      </w:tblPr>
      <w:tblGrid>
        <w:gridCol w:w="1098"/>
        <w:gridCol w:w="1098"/>
        <w:gridCol w:w="1098"/>
        <w:gridCol w:w="1098"/>
        <w:gridCol w:w="1098"/>
        <w:gridCol w:w="1098"/>
        <w:gridCol w:w="1098"/>
        <w:gridCol w:w="1098"/>
        <w:gridCol w:w="1098"/>
      </w:tblGrid>
      <w:tr>
        <w:tc>
          <w:tcPr>
            <w:tcW w:type="dxa" w:w="1098"/>
            <w:vAlign w:val="center"/>
            <w:tcMar>
              <w:top w:w="100" w:type="dxa"/>
              <w:start w:w="100" w:type="dxa"/>
              <w:bottom w:w="100" w:type="dxa"/>
              <w:end w:w="100" w:type="dxa"/>
            </w:tcMar>
            <w:shd w:fill="16324F"/>
          </w:tcPr>
          <w:p>
            <w:pPr>
              <w:spacing w:after="0"/>
              <w:jc w:val="center"/>
            </w:pPr>
            <w:r/>
            <w:r>
              <w:rPr>
                <w:rFonts w:ascii="Aptos" w:hAnsi="Aptos"/>
                <w:b/>
                <w:color w:val="FFFFFF"/>
                <w:sz w:val="14"/>
              </w:rPr>
              <w:t>Select sample</w:t>
            </w:r>
          </w:p>
        </w:tc>
        <w:tc>
          <w:tcPr>
            <w:tcW w:type="dxa" w:w="1098"/>
            <w:vAlign w:val="center"/>
            <w:tcMar>
              <w:top w:w="100" w:type="dxa"/>
              <w:start w:w="100" w:type="dxa"/>
              <w:bottom w:w="100" w:type="dxa"/>
              <w:end w:w="100" w:type="dxa"/>
            </w:tcMar>
          </w:tcPr>
          <w:p>
            <w:pPr>
              <w:spacing w:after="0"/>
              <w:jc w:val="center"/>
            </w:pPr>
            <w:r/>
            <w:r>
              <w:rPr>
                <w:rFonts w:ascii="Aptos" w:hAnsi="Aptos"/>
                <w:b/>
                <w:color w:val="2E7D7A"/>
                <w:sz w:val="24"/>
              </w:rPr>
              <w:t>→</w:t>
            </w:r>
          </w:p>
        </w:tc>
        <w:tc>
          <w:tcPr>
            <w:tcW w:type="dxa" w:w="1098"/>
            <w:vAlign w:val="center"/>
            <w:tcMar>
              <w:top w:w="100" w:type="dxa"/>
              <w:start w:w="100" w:type="dxa"/>
              <w:bottom w:w="100" w:type="dxa"/>
              <w:end w:w="100" w:type="dxa"/>
            </w:tcMar>
            <w:shd w:fill="2E7D7A"/>
          </w:tcPr>
          <w:p>
            <w:pPr>
              <w:spacing w:after="0"/>
              <w:jc w:val="center"/>
            </w:pPr>
            <w:r/>
            <w:r>
              <w:rPr>
                <w:rFonts w:ascii="Aptos" w:hAnsi="Aptos"/>
                <w:b/>
                <w:color w:val="FFFFFF"/>
                <w:sz w:val="14"/>
              </w:rPr>
              <w:t>Start processing</w:t>
            </w:r>
          </w:p>
        </w:tc>
        <w:tc>
          <w:tcPr>
            <w:tcW w:type="dxa" w:w="1098"/>
            <w:vAlign w:val="center"/>
            <w:tcMar>
              <w:top w:w="100" w:type="dxa"/>
              <w:start w:w="100" w:type="dxa"/>
              <w:bottom w:w="100" w:type="dxa"/>
              <w:end w:w="100" w:type="dxa"/>
            </w:tcMar>
          </w:tcPr>
          <w:p>
            <w:pPr>
              <w:spacing w:after="0"/>
              <w:jc w:val="center"/>
            </w:pPr>
            <w:r/>
            <w:r>
              <w:rPr>
                <w:rFonts w:ascii="Aptos" w:hAnsi="Aptos"/>
                <w:b/>
                <w:color w:val="2E7D7A"/>
                <w:sz w:val="24"/>
              </w:rPr>
              <w:t>→</w:t>
            </w:r>
          </w:p>
        </w:tc>
        <w:tc>
          <w:tcPr>
            <w:tcW w:type="dxa" w:w="1098"/>
            <w:vAlign w:val="center"/>
            <w:tcMar>
              <w:top w:w="100" w:type="dxa"/>
              <w:start w:w="100" w:type="dxa"/>
              <w:bottom w:w="100" w:type="dxa"/>
              <w:end w:w="100" w:type="dxa"/>
            </w:tcMar>
            <w:shd w:fill="1F5F8B"/>
          </w:tcPr>
          <w:p>
            <w:pPr>
              <w:spacing w:after="0"/>
              <w:jc w:val="center"/>
            </w:pPr>
            <w:r/>
            <w:r>
              <w:rPr>
                <w:rFonts w:ascii="Aptos" w:hAnsi="Aptos"/>
                <w:b/>
                <w:color w:val="FFFFFF"/>
                <w:sz w:val="14"/>
              </w:rPr>
              <w:t>Observe results</w:t>
            </w:r>
          </w:p>
        </w:tc>
        <w:tc>
          <w:tcPr>
            <w:tcW w:type="dxa" w:w="1098"/>
            <w:vAlign w:val="center"/>
            <w:tcMar>
              <w:top w:w="100" w:type="dxa"/>
              <w:start w:w="100" w:type="dxa"/>
              <w:bottom w:w="100" w:type="dxa"/>
              <w:end w:w="100" w:type="dxa"/>
            </w:tcMar>
          </w:tcPr>
          <w:p>
            <w:pPr>
              <w:spacing w:after="0"/>
              <w:jc w:val="center"/>
            </w:pPr>
            <w:r/>
            <w:r>
              <w:rPr>
                <w:rFonts w:ascii="Aptos" w:hAnsi="Aptos"/>
                <w:b/>
                <w:color w:val="2E7D7A"/>
                <w:sz w:val="24"/>
              </w:rPr>
              <w:t>→</w:t>
            </w:r>
          </w:p>
        </w:tc>
        <w:tc>
          <w:tcPr>
            <w:tcW w:type="dxa" w:w="1098"/>
            <w:vAlign w:val="center"/>
            <w:tcMar>
              <w:top w:w="100" w:type="dxa"/>
              <w:start w:w="100" w:type="dxa"/>
              <w:bottom w:w="100" w:type="dxa"/>
              <w:end w:w="100" w:type="dxa"/>
            </w:tcMar>
            <w:shd w:fill="C89B3C"/>
          </w:tcPr>
          <w:p>
            <w:pPr>
              <w:spacing w:after="0"/>
              <w:jc w:val="center"/>
            </w:pPr>
            <w:r/>
            <w:r>
              <w:rPr>
                <w:rFonts w:ascii="Aptos" w:hAnsi="Aptos"/>
                <w:b/>
                <w:color w:val="FFFFFF"/>
                <w:sz w:val="14"/>
              </w:rPr>
              <w:t>Review groups</w:t>
            </w:r>
          </w:p>
        </w:tc>
        <w:tc>
          <w:tcPr>
            <w:tcW w:type="dxa" w:w="1098"/>
            <w:vAlign w:val="center"/>
            <w:tcMar>
              <w:top w:w="100" w:type="dxa"/>
              <w:start w:w="100" w:type="dxa"/>
              <w:bottom w:w="100" w:type="dxa"/>
              <w:end w:w="100" w:type="dxa"/>
            </w:tcMar>
          </w:tcPr>
          <w:p>
            <w:pPr>
              <w:spacing w:after="0"/>
              <w:jc w:val="center"/>
            </w:pPr>
            <w:r/>
            <w:r>
              <w:rPr>
                <w:rFonts w:ascii="Aptos" w:hAnsi="Aptos"/>
                <w:b/>
                <w:color w:val="2E7D7A"/>
                <w:sz w:val="24"/>
              </w:rPr>
              <w:t>→</w:t>
            </w:r>
          </w:p>
        </w:tc>
        <w:tc>
          <w:tcPr>
            <w:tcW w:type="dxa" w:w="1098"/>
            <w:vAlign w:val="center"/>
            <w:tcMar>
              <w:top w:w="100" w:type="dxa"/>
              <w:start w:w="100" w:type="dxa"/>
              <w:bottom w:w="100" w:type="dxa"/>
              <w:end w:w="100" w:type="dxa"/>
            </w:tcMar>
            <w:shd w:fill="C89B3C"/>
          </w:tcPr>
          <w:p>
            <w:pPr>
              <w:spacing w:after="0"/>
              <w:jc w:val="center"/>
            </w:pPr>
            <w:r/>
            <w:r>
              <w:rPr>
                <w:rFonts w:ascii="Aptos" w:hAnsi="Aptos"/>
                <w:b/>
                <w:color w:val="FFFFFF"/>
                <w:sz w:val="14"/>
              </w:rPr>
              <w:t>Download files</w:t>
            </w:r>
          </w:p>
        </w:tc>
      </w:tr>
    </w:tbl>
    <w:p>
      <w:pPr>
        <w:pStyle w:val="Caption"/>
        <w:jc w:val="center"/>
      </w:pPr>
      <w:r>
        <w:t>Figure 9. Demonstration intake path</w:t>
      </w:r>
    </w:p>
    <w:p>
      <w:pPr>
        <w:pStyle w:val="Heading2"/>
      </w:pPr>
      <w:r>
        <w:t>8.5 File Selection and Drag-and-Drop</w:t>
      </w:r>
    </w:p>
    <w:p>
      <w:r>
        <w:t>The demonstration should support an obvious file-selection experience.</w:t>
      </w:r>
    </w:p>
    <w:p>
      <w:pPr>
        <w:pStyle w:val="Heading2"/>
      </w:pPr>
      <w:r>
        <w:t>8.6 Processing Start</w:t>
      </w:r>
    </w:p>
    <w:p>
      <w:r>
        <w:t>Once the supplied sample file is selected, DRE should visibly transition from intake into processing.</w:t>
      </w:r>
    </w:p>
    <w:p>
      <w:pPr>
        <w:pStyle w:val="Heading2"/>
      </w:pPr>
      <w:r>
        <w:t>8.7 Deterministic Review</w:t>
      </w:r>
    </w:p>
    <w:p>
      <w:r>
        <w:t>Every sample transaction enters the deterministic review layer first.</w:t>
      </w:r>
    </w:p>
    <w:p>
      <w:pPr>
        <w:pStyle w:val="ListBullet"/>
        <w:spacing w:after="60"/>
        <w:ind w:left="360" w:hanging="230"/>
      </w:pPr>
      <w:r>
        <w:t>Rule identified</w:t>
      </w:r>
    </w:p>
    <w:p>
      <w:pPr>
        <w:pStyle w:val="ListBullet"/>
        <w:spacing w:after="60"/>
        <w:ind w:left="360" w:hanging="230"/>
      </w:pPr>
      <w:r>
        <w:t>Violation or condition detected</w:t>
      </w:r>
    </w:p>
    <w:p>
      <w:pPr>
        <w:pStyle w:val="ListBullet"/>
        <w:spacing w:after="60"/>
        <w:ind w:left="360" w:hanging="230"/>
      </w:pPr>
      <w:r>
        <w:t>Deterministic action</w:t>
      </w:r>
    </w:p>
    <w:p>
      <w:pPr>
        <w:pStyle w:val="ListBullet"/>
        <w:spacing w:after="60"/>
        <w:ind w:left="360" w:hanging="230"/>
      </w:pPr>
      <w:r>
        <w:t>Original narrative</w:t>
      </w:r>
    </w:p>
    <w:p>
      <w:pPr>
        <w:pStyle w:val="ListBullet"/>
        <w:spacing w:after="60"/>
        <w:ind w:left="360" w:hanging="230"/>
      </w:pPr>
      <w:r>
        <w:t>Sanitized narrative</w:t>
      </w:r>
    </w:p>
    <w:p>
      <w:pPr>
        <w:pStyle w:val="ListBullet"/>
        <w:spacing w:after="60"/>
        <w:ind w:left="360" w:hanging="230"/>
      </w:pPr>
      <w:r>
        <w:t>Original financial value</w:t>
      </w:r>
    </w:p>
    <w:p>
      <w:pPr>
        <w:pStyle w:val="ListBullet"/>
        <w:spacing w:after="60"/>
        <w:ind w:left="360" w:hanging="230"/>
      </w:pPr>
      <w:r>
        <w:t>Deterministically adjusted value</w:t>
      </w:r>
    </w:p>
    <w:p>
      <w:pPr>
        <w:pStyle w:val="ListBullet"/>
        <w:spacing w:after="60"/>
        <w:ind w:left="360" w:hanging="230"/>
      </w:pPr>
      <w:r>
        <w:t>Whether semantic review is required</w:t>
      </w:r>
    </w:p>
    <w:p>
      <w:pPr>
        <w:pStyle w:val="Heading2"/>
      </w:pPr>
      <w:r>
        <w:t>8.8 Deterministic Pass / Early Exit</w:t>
      </w:r>
    </w:p>
    <w:p>
      <w:r>
        <w:t>Transactions that do not require semantic interpretation should be capable of completing the automated review path without unnecessary AI processing.</w:t>
      </w:r>
    </w:p>
    <w:p>
      <w:r>
        <w:t>The demo should make that pathway visible.</w:t>
      </w:r>
    </w:p>
    <w:p>
      <w:r>
        <w:t>This demonstrates the operating principle:</w:t>
      </w:r>
    </w:p>
    <w:tbl>
      <w:tblPr>
        <w:tblW w:type="auto" w:w="0"/>
        <w:jc w:val="center"/>
        <w:tblLayout w:type="fixed"/>
        <w:tblLook w:firstColumn="1" w:firstRow="1" w:lastColumn="0" w:lastRow="0" w:noHBand="0" w:noVBand="1" w:val="04A0"/>
      </w:tblPr>
      <w:tblGrid>
        <w:gridCol w:w="173"/>
        <w:gridCol w:w="9475"/>
      </w:tblGrid>
      <w:tr>
        <w:tc>
          <w:tcPr>
            <w:tcW w:type="dxa" w:w="4939"/>
            <w:shd w:fill="2E7D7A"/>
          </w:tcPr>
          <w:p>
            <w:r/>
          </w:p>
        </w:tc>
        <w:tc>
          <w:tcPr>
            <w:tcW w:type="dxa" w:w="4939"/>
            <w:shd w:fill="EAF1F5"/>
            <w:tcMar>
              <w:top w:w="160" w:type="dxa"/>
              <w:start w:w="160" w:type="dxa"/>
              <w:bottom w:w="160" w:type="dxa"/>
              <w:end w:w="160" w:type="dxa"/>
            </w:tcMar>
          </w:tcPr>
          <w:p>
            <w:pPr>
              <w:pStyle w:val="Callout"/>
            </w:pPr>
            <w:r>
              <w:rPr>
                <w:color w:val="2E7D7A"/>
                <w:sz w:val="16"/>
              </w:rPr>
              <w:t>OPERATING PRINCIPLE</w:t>
              <w:br/>
            </w:r>
            <w:r>
              <w:t>Review what needs judgment, not what already passes.</w:t>
            </w:r>
          </w:p>
        </w:tc>
      </w:tr>
    </w:tbl>
    <w:p/>
    <w:p>
      <w:r>
        <w:t>A deterministic early exit is therefore not a reduced form of processing. It is evidence that the architecture is functioning as intended.</w:t>
      </w:r>
    </w:p>
    <w:p>
      <w:pPr>
        <w:pStyle w:val="Heading2"/>
      </w:pPr>
      <w:r>
        <w:t>8.9 Consensus Review</w:t>
      </w:r>
    </w:p>
    <w:p>
      <w:r>
        <w:t>Transactions requiring semantic interpretation move into the consensus-review layer.</w:t>
      </w:r>
    </w:p>
    <w:p>
      <w:pPr>
        <w:pStyle w:val="ListBullet"/>
        <w:spacing w:after="60"/>
        <w:ind w:left="360" w:hanging="230"/>
      </w:pPr>
      <w:r>
        <w:t>Schema Validator</w:t>
      </w:r>
    </w:p>
    <w:p>
      <w:pPr>
        <w:pStyle w:val="ListBullet"/>
        <w:spacing w:after="60"/>
        <w:ind w:left="360" w:hanging="230"/>
      </w:pPr>
      <w:r>
        <w:t>Domain Expert</w:t>
      </w:r>
    </w:p>
    <w:p>
      <w:pPr>
        <w:pStyle w:val="ListBullet"/>
        <w:spacing w:after="60"/>
        <w:ind w:left="360" w:hanging="230"/>
      </w:pPr>
      <w:r>
        <w:t>Anomaly Detector</w:t>
      </w:r>
    </w:p>
    <w:p>
      <w:pPr>
        <w:pStyle w:val="ListBullet"/>
        <w:spacing w:after="60"/>
        <w:ind w:left="360" w:hanging="230"/>
      </w:pPr>
      <w:r>
        <w:t>Transaction sent to consensus</w:t>
      </w:r>
    </w:p>
    <w:p>
      <w:pPr>
        <w:pStyle w:val="ListBullet"/>
        <w:spacing w:after="60"/>
        <w:ind w:left="360" w:hanging="230"/>
      </w:pPr>
      <w:r>
        <w:t>Agent votes</w:t>
      </w:r>
    </w:p>
    <w:p>
      <w:pPr>
        <w:pStyle w:val="ListBullet"/>
        <w:spacing w:after="60"/>
        <w:ind w:left="360" w:hanging="230"/>
      </w:pPr>
      <w:r>
        <w:t>Confidence information where appropriate</w:t>
      </w:r>
    </w:p>
    <w:p>
      <w:pPr>
        <w:pStyle w:val="ListBullet"/>
        <w:spacing w:after="60"/>
        <w:ind w:left="360" w:hanging="230"/>
      </w:pPr>
      <w:r>
        <w:t>Reasoning or extracted intent</w:t>
      </w:r>
    </w:p>
    <w:p>
      <w:pPr>
        <w:pStyle w:val="ListBullet"/>
        <w:spacing w:after="60"/>
        <w:ind w:left="360" w:hanging="230"/>
      </w:pPr>
      <w:r>
        <w:t>Resulting referee action</w:t>
      </w:r>
    </w:p>
    <w:p>
      <w:pPr>
        <w:pStyle w:val="ListBullet"/>
        <w:spacing w:after="60"/>
        <w:ind w:left="360" w:hanging="230"/>
      </w:pPr>
      <w:r>
        <w:t>Whether the transaction cleared the automated pathway or requires human review</w:t>
      </w:r>
    </w:p>
    <w:p>
      <w:pPr>
        <w:pStyle w:val="Heading2"/>
      </w:pPr>
      <w:r>
        <w:t>8.10 Human Review</w:t>
      </w:r>
    </w:p>
    <w:p>
      <w:r>
        <w:t>DRE’s demonstration must preserve human authority.</w:t>
      </w:r>
    </w:p>
    <w:p>
      <w:pPr>
        <w:pStyle w:val="ListBullet"/>
        <w:spacing w:after="60"/>
        <w:ind w:left="360" w:hanging="230"/>
      </w:pPr>
      <w:r>
        <w:t>Original transaction</w:t>
      </w:r>
    </w:p>
    <w:p>
      <w:pPr>
        <w:pStyle w:val="ListBullet"/>
        <w:spacing w:after="60"/>
        <w:ind w:left="360" w:hanging="230"/>
      </w:pPr>
      <w:r>
        <w:t>Deterministic findings</w:t>
      </w:r>
    </w:p>
    <w:p>
      <w:pPr>
        <w:pStyle w:val="ListBullet"/>
        <w:spacing w:after="60"/>
        <w:ind w:left="360" w:hanging="230"/>
      </w:pPr>
      <w:r>
        <w:t>Relevant narrative state</w:t>
      </w:r>
    </w:p>
    <w:p>
      <w:pPr>
        <w:pStyle w:val="ListBullet"/>
        <w:spacing w:after="60"/>
        <w:ind w:left="360" w:hanging="230"/>
      </w:pPr>
      <w:r>
        <w:t>Consensus information</w:t>
      </w:r>
    </w:p>
    <w:p>
      <w:pPr>
        <w:pStyle w:val="ListBullet"/>
        <w:spacing w:after="60"/>
        <w:ind w:left="360" w:hanging="230"/>
      </w:pPr>
      <w:r>
        <w:t>Proposed treatment</w:t>
      </w:r>
    </w:p>
    <w:p>
      <w:pPr>
        <w:pStyle w:val="ListBullet"/>
        <w:spacing w:after="60"/>
        <w:ind w:left="360" w:hanging="230"/>
      </w:pPr>
      <w:r>
        <w:t>Financial implication</w:t>
      </w:r>
    </w:p>
    <w:p>
      <w:pPr>
        <w:pStyle w:val="ListBullet"/>
        <w:spacing w:after="60"/>
        <w:ind w:left="360" w:hanging="230"/>
      </w:pPr>
      <w:r>
        <w:t>Reason the transaction requires attention</w:t>
      </w:r>
    </w:p>
    <w:p>
      <w:r>
        <w:t>Items that cannot appropriately clear the applicable automated review path should be isolated into the HUMAN REVIEW result.</w:t>
      </w:r>
    </w:p>
    <w:p>
      <w:r>
        <w:t>Human review is not presented as system failure.</w:t>
      </w:r>
    </w:p>
    <w:p>
      <w:r>
        <w:t>It represents DRE identifying the portion of the billing population where authorized judgment is still required.</w:t>
      </w:r>
    </w:p>
    <w:p>
      <w:r>
        <w:t>The demo should make the reason for that routing understandable.</w:t>
      </w:r>
    </w:p>
    <w:p>
      <w:r>
        <w:t>The product value is partly in reducing the review population from everything to the things that actually need somebody’s attention.</w:t>
      </w:r>
    </w:p>
    <w:p>
      <w:pPr>
        <w:pStyle w:val="Heading2"/>
      </w:pPr>
      <w:r>
        <w:t>8.11 Demonstration Counts</w:t>
      </w:r>
    </w:p>
    <w:p>
      <w:r>
        <w:t>The result interface should provide an immediate numerical summary of what happened.</w:t>
      </w:r>
    </w:p>
    <w:p>
      <w:pPr>
        <w:pStyle w:val="ListBullet"/>
        <w:spacing w:after="60"/>
        <w:ind w:left="360" w:hanging="230"/>
      </w:pPr>
      <w:r>
        <w:t>Total Reviewed</w:t>
      </w:r>
    </w:p>
    <w:p>
      <w:pPr>
        <w:pStyle w:val="ListBullet"/>
        <w:spacing w:after="60"/>
        <w:ind w:left="360" w:hanging="230"/>
      </w:pPr>
      <w:r>
        <w:t>Deterministic Review / Pass</w:t>
      </w:r>
    </w:p>
    <w:p>
      <w:pPr>
        <w:pStyle w:val="ListBullet"/>
        <w:spacing w:after="60"/>
        <w:ind w:left="360" w:hanging="230"/>
      </w:pPr>
      <w:r>
        <w:t>Sent to Consensus</w:t>
      </w:r>
    </w:p>
    <w:p>
      <w:pPr>
        <w:pStyle w:val="ListBullet"/>
        <w:spacing w:after="60"/>
        <w:ind w:left="360" w:hanging="230"/>
      </w:pPr>
      <w:r>
        <w:t>Passed Consensus</w:t>
      </w:r>
    </w:p>
    <w:p>
      <w:pPr>
        <w:pStyle w:val="ListBullet"/>
        <w:spacing w:after="60"/>
        <w:ind w:left="360" w:hanging="230"/>
      </w:pPr>
      <w:r>
        <w:t>Human Review</w:t>
      </w:r>
    </w:p>
    <w:p>
      <w:pPr>
        <w:pStyle w:val="Heading2"/>
      </w:pPr>
      <w:r>
        <w:t>8.12 Passed Consensus Output</w:t>
      </w:r>
    </w:p>
    <w:p>
      <w:r>
        <w:t>The first principal output is:</w:t>
      </w:r>
    </w:p>
    <w:p>
      <w:r>
        <w:t>PASSED CONSENSUS</w:t>
      </w:r>
    </w:p>
    <w:p>
      <w:r>
        <w:t>This contains transactions that cleared their applicable automated review path.</w:t>
      </w:r>
    </w:p>
    <w:p>
      <w:r>
        <w:t>“Passed Consensus” is the customer-facing result grouping. It does not mean that every item necessarily required AI processing, nor does it mean that humans are prohibited from examining those transactions.</w:t>
      </w:r>
    </w:p>
    <w:p>
      <w:r>
        <w:t>It means that the transaction cleared the applicable automated DRE review pathway and was not routed into the human-attention population.</w:t>
      </w:r>
    </w:p>
    <w:p>
      <w:r>
        <w:t>The downloadable result should preserve enough information to remain useful outside the immediate demo screen.</w:t>
      </w:r>
    </w:p>
    <w:p>
      <w:pPr>
        <w:pStyle w:val="Heading2"/>
      </w:pPr>
      <w:r>
        <w:t>8.13 Human Review Output</w:t>
      </w:r>
    </w:p>
    <w:p>
      <w:r>
        <w:t>The second principal output is:</w:t>
      </w:r>
    </w:p>
    <w:p>
      <w:r>
        <w:t>HUMAN REVIEW</w:t>
      </w:r>
    </w:p>
    <w:p>
      <w:pPr>
        <w:pStyle w:val="ListBullet"/>
        <w:spacing w:after="60"/>
        <w:ind w:left="360" w:hanging="230"/>
      </w:pPr>
      <w:r>
        <w:t>Which transaction requires attention</w:t>
      </w:r>
    </w:p>
    <w:p>
      <w:pPr>
        <w:pStyle w:val="ListBullet"/>
        <w:spacing w:after="60"/>
        <w:ind w:left="360" w:hanging="230"/>
      </w:pPr>
      <w:r>
        <w:t>What DRE found</w:t>
      </w:r>
    </w:p>
    <w:p>
      <w:pPr>
        <w:pStyle w:val="ListBullet"/>
        <w:spacing w:after="60"/>
        <w:ind w:left="360" w:hanging="230"/>
      </w:pPr>
      <w:r>
        <w:t>Which processing path occurred</w:t>
      </w:r>
    </w:p>
    <w:p>
      <w:pPr>
        <w:pStyle w:val="ListBullet"/>
        <w:spacing w:after="60"/>
        <w:ind w:left="360" w:hanging="230"/>
      </w:pPr>
      <w:r>
        <w:t>Why the item did not clear automated review</w:t>
      </w:r>
    </w:p>
    <w:p>
      <w:pPr>
        <w:pStyle w:val="ListBullet"/>
        <w:spacing w:after="60"/>
        <w:ind w:left="360" w:hanging="230"/>
      </w:pPr>
      <w:r>
        <w:t>What relevant evidence exists</w:t>
      </w:r>
    </w:p>
    <w:p>
      <w:pPr>
        <w:pStyle w:val="ListBullet"/>
        <w:spacing w:after="60"/>
        <w:ind w:left="360" w:hanging="230"/>
      </w:pPr>
      <w:r>
        <w:t>What financial amount is associated with the issue where applicable</w:t>
      </w:r>
    </w:p>
    <w:p>
      <w:pPr>
        <w:pStyle w:val="Heading2"/>
      </w:pPr>
      <w:r>
        <w:t>8.14 Two-File Result Model</w:t>
      </w:r>
    </w:p>
    <w:p>
      <w:r>
        <w:t>The demonstration culminates in the simplified customer-facing result:</w:t>
      </w:r>
    </w:p>
    <w:p>
      <w:r>
        <w:t>ONE FILE IN → TWO FILES OUT</w:t>
      </w:r>
    </w:p>
    <w:p>
      <w:r>
        <w:t>Those two downloadable files are:</w:t>
      </w:r>
    </w:p>
    <w:p>
      <w:pPr>
        <w:pStyle w:val="ListBullet"/>
        <w:spacing w:after="60"/>
        <w:ind w:left="360" w:hanging="230"/>
      </w:pPr>
      <w:r>
        <w:t>PASSED CONSENSUS</w:t>
      </w:r>
    </w:p>
    <w:p>
      <w:pPr>
        <w:pStyle w:val="ListBullet"/>
        <w:spacing w:after="60"/>
        <w:ind w:left="360" w:hanging="230"/>
      </w:pPr>
      <w:r>
        <w:t>HUMAN REVIEW</w:t>
      </w:r>
    </w:p>
    <w:p>
      <w:r>
        <w:t>This is intentionally simpler than exposing the internal processing architecture as the primary customer experience.</w:t>
      </w:r>
    </w:p>
    <w:p>
      <w:r>
        <w:t>Internally, DRE may have deterministic findings, sanitized narratives, agent votes, referee states, audit records, financial calculations, and infrastructure events.</w:t>
      </w:r>
    </w:p>
    <w:p>
      <w:r>
        <w:t>Externally, the evaluator receives an immediately understandable operational result:</w:t>
      </w:r>
    </w:p>
    <w:tbl>
      <w:tblPr>
        <w:tblW w:type="auto" w:w="0"/>
        <w:jc w:val="center"/>
        <w:tblLayout w:type="fixed"/>
        <w:tblLook w:firstColumn="1" w:firstRow="1" w:lastColumn="0" w:lastRow="0" w:noHBand="0" w:noVBand="1" w:val="04A0"/>
      </w:tblPr>
      <w:tblGrid>
        <w:gridCol w:w="173"/>
        <w:gridCol w:w="9475"/>
      </w:tblGrid>
      <w:tr>
        <w:tc>
          <w:tcPr>
            <w:tcW w:type="dxa" w:w="4939"/>
            <w:shd w:fill="2E7D7A"/>
          </w:tcPr>
          <w:p>
            <w:r/>
          </w:p>
        </w:tc>
        <w:tc>
          <w:tcPr>
            <w:tcW w:type="dxa" w:w="4939"/>
            <w:shd w:fill="EAF1F5"/>
            <w:tcMar>
              <w:top w:w="160" w:type="dxa"/>
              <w:start w:w="160" w:type="dxa"/>
              <w:bottom w:w="160" w:type="dxa"/>
              <w:end w:w="160" w:type="dxa"/>
            </w:tcMar>
          </w:tcPr>
          <w:p>
            <w:pPr>
              <w:pStyle w:val="Callout"/>
            </w:pPr>
            <w:r>
              <w:rPr>
                <w:color w:val="2E7D7A"/>
                <w:sz w:val="16"/>
              </w:rPr>
              <w:t>CUSTOMER-FACING RESULT</w:t>
              <w:br/>
            </w:r>
            <w:r>
              <w:t>Here is what cleared. Here is what needs you.</w:t>
            </w:r>
          </w:p>
        </w:tc>
      </w:tr>
    </w:tbl>
    <w:p/>
    <w:p>
      <w:pPr>
        <w:pStyle w:val="Heading2"/>
      </w:pPr>
      <w:r>
        <w:t>8.15 Downloadable Results</w:t>
      </w:r>
    </w:p>
    <w:p>
      <w:r>
        <w:t>Both result populations should be downloadable.</w:t>
      </w:r>
    </w:p>
    <w:p>
      <w:pPr>
        <w:pStyle w:val="Heading2"/>
      </w:pPr>
      <w:r>
        <w:t>8.16 Transaction-Level Explanation</w:t>
      </w:r>
    </w:p>
    <w:p>
      <w:r>
        <w:t>The working demonstration should allow an evaluator to understand individual results.</w:t>
      </w:r>
    </w:p>
    <w:p>
      <w:pPr>
        <w:pStyle w:val="ListBullet"/>
        <w:spacing w:after="60"/>
        <w:ind w:left="360" w:hanging="230"/>
      </w:pPr>
      <w:r>
        <w:t>Original narrative</w:t>
      </w:r>
    </w:p>
    <w:p>
      <w:pPr>
        <w:pStyle w:val="ListBullet"/>
        <w:spacing w:after="60"/>
        <w:ind w:left="360" w:hanging="230"/>
      </w:pPr>
      <w:r>
        <w:t>Rule triggered</w:t>
      </w:r>
    </w:p>
    <w:p>
      <w:pPr>
        <w:pStyle w:val="ListBullet"/>
        <w:spacing w:after="60"/>
        <w:ind w:left="360" w:hanging="230"/>
      </w:pPr>
      <w:r>
        <w:t>Deterministic adjustment</w:t>
      </w:r>
    </w:p>
    <w:p>
      <w:pPr>
        <w:pStyle w:val="ListBullet"/>
        <w:spacing w:after="60"/>
        <w:ind w:left="360" w:hanging="230"/>
      </w:pPr>
      <w:r>
        <w:t>Sanitized narrative</w:t>
      </w:r>
    </w:p>
    <w:p>
      <w:pPr>
        <w:pStyle w:val="ListBullet"/>
        <w:spacing w:after="60"/>
        <w:ind w:left="360" w:hanging="230"/>
      </w:pPr>
      <w:r>
        <w:t>Consensus involvement</w:t>
      </w:r>
    </w:p>
    <w:p>
      <w:pPr>
        <w:pStyle w:val="ListBullet"/>
        <w:spacing w:after="60"/>
        <w:ind w:left="360" w:hanging="230"/>
      </w:pPr>
      <w:r>
        <w:t>Consensus/referee outcome</w:t>
      </w:r>
    </w:p>
    <w:p>
      <w:pPr>
        <w:pStyle w:val="ListBullet"/>
        <w:spacing w:after="60"/>
        <w:ind w:left="360" w:hanging="230"/>
      </w:pPr>
      <w:r>
        <w:t>Proposed adjustment</w:t>
      </w:r>
    </w:p>
    <w:p>
      <w:pPr>
        <w:pStyle w:val="ListBullet"/>
        <w:spacing w:after="60"/>
        <w:ind w:left="360" w:hanging="230"/>
      </w:pPr>
      <w:r>
        <w:t>Human-review requirement</w:t>
      </w:r>
    </w:p>
    <w:p>
      <w:pPr>
        <w:pStyle w:val="ListBullet"/>
        <w:spacing w:after="60"/>
        <w:ind w:left="360" w:hanging="230"/>
      </w:pPr>
      <w:r>
        <w:t>Final demo output category</w:t>
      </w:r>
    </w:p>
    <w:p>
      <w:pPr>
        <w:pStyle w:val="Heading2"/>
      </w:pPr>
      <w:r>
        <w:t>8.17 Financial Presentation</w:t>
      </w:r>
    </w:p>
    <w:p>
      <w:r>
        <w:t>The demonstration can show calculated financial differences associated with sample transactions, but the terminology must preserve the distinction established elsewhere in the DRE plan.</w:t>
      </w:r>
    </w:p>
    <w:p>
      <w:pPr>
        <w:pStyle w:val="ListBullet"/>
        <w:spacing w:after="60"/>
        <w:ind w:left="360" w:hanging="230"/>
      </w:pPr>
      <w:r>
        <w:t>Original billing value</w:t>
      </w:r>
    </w:p>
    <w:p>
      <w:pPr>
        <w:pStyle w:val="ListBullet"/>
        <w:spacing w:after="60"/>
        <w:ind w:left="360" w:hanging="230"/>
      </w:pPr>
      <w:r>
        <w:t>Adjusted calculated value</w:t>
      </w:r>
    </w:p>
    <w:p>
      <w:pPr>
        <w:pStyle w:val="ListBullet"/>
        <w:spacing w:after="60"/>
        <w:ind w:left="360" w:hanging="230"/>
      </w:pPr>
      <w:r>
        <w:t>Flagged amount</w:t>
      </w:r>
    </w:p>
    <w:p>
      <w:pPr>
        <w:pStyle w:val="ListBullet"/>
        <w:spacing w:after="60"/>
        <w:ind w:left="360" w:hanging="230"/>
      </w:pPr>
      <w:r>
        <w:t>Proposed adjustment</w:t>
      </w:r>
    </w:p>
    <w:p>
      <w:pPr>
        <w:pStyle w:val="ListBullet"/>
        <w:spacing w:after="60"/>
        <w:ind w:left="360" w:hanging="230"/>
      </w:pPr>
      <w:r>
        <w:t>Difference requiring review</w:t>
      </w:r>
    </w:p>
    <w:p>
      <w:pPr>
        <w:pStyle w:val="Heading2"/>
      </w:pPr>
      <w:r>
        <w:t>8.18 Audit Visibility</w:t>
      </w:r>
    </w:p>
    <w:p>
      <w:r>
        <w:t>The demo should provide enough evidence to demonstrate DRE’s auditability principle.</w:t>
      </w:r>
    </w:p>
    <w:p>
      <w:pPr>
        <w:pStyle w:val="ListBullet"/>
        <w:spacing w:after="60"/>
        <w:ind w:left="360" w:hanging="230"/>
      </w:pPr>
      <w:r>
        <w:t>Original transaction</w:t>
      </w:r>
    </w:p>
    <w:p>
      <w:pPr>
        <w:pStyle w:val="ListBullet"/>
        <w:spacing w:after="60"/>
        <w:ind w:left="360" w:hanging="230"/>
      </w:pPr>
      <w:r>
        <w:t>Deterministic finding</w:t>
      </w:r>
    </w:p>
    <w:p>
      <w:pPr>
        <w:pStyle w:val="ListBullet"/>
        <w:spacing w:after="60"/>
        <w:ind w:left="360" w:hanging="230"/>
      </w:pPr>
      <w:r>
        <w:t>Consensus involvement</w:t>
      </w:r>
    </w:p>
    <w:p>
      <w:pPr>
        <w:pStyle w:val="ListBullet"/>
        <w:spacing w:after="60"/>
        <w:ind w:left="360" w:hanging="230"/>
      </w:pPr>
      <w:r>
        <w:t>Resulting action/state</w:t>
      </w:r>
    </w:p>
    <w:p>
      <w:pPr>
        <w:pStyle w:val="ListBullet"/>
        <w:spacing w:after="60"/>
        <w:ind w:left="360" w:hanging="230"/>
      </w:pPr>
      <w:r>
        <w:t>Human-review requirement</w:t>
      </w:r>
    </w:p>
    <w:p>
      <w:pPr>
        <w:pStyle w:val="Heading2"/>
      </w:pPr>
      <w:r>
        <w:t>8.19 Demo Processing vs. Predetermined Animation</w:t>
      </w:r>
    </w:p>
    <w:p>
      <w:r>
        <w:t>The demonstration should perform actual processing of the supplied synthetic billing data.</w:t>
      </w:r>
    </w:p>
    <w:p>
      <w:pPr>
        <w:pStyle w:val="Heading2"/>
      </w:pPr>
      <w:r>
        <w:t>8.20 Demo Limitations</w:t>
      </w:r>
    </w:p>
    <w:p>
      <w:r>
        <w:t>The working demonstration is deliberately narrower than the intended production product.</w:t>
      </w:r>
    </w:p>
    <w:p>
      <w:pPr>
        <w:pStyle w:val="ListBullet"/>
        <w:spacing w:after="60"/>
        <w:ind w:left="360" w:hanging="230"/>
      </w:pPr>
      <w:r>
        <w:t>A completed enterprise production deployment</w:t>
      </w:r>
    </w:p>
    <w:p>
      <w:pPr>
        <w:pStyle w:val="ListBullet"/>
        <w:spacing w:after="60"/>
        <w:ind w:left="360" w:hanging="230"/>
      </w:pPr>
      <w:r>
        <w:t>Connected to a customer’s live billing environment</w:t>
      </w:r>
    </w:p>
    <w:p>
      <w:pPr>
        <w:pStyle w:val="ListBullet"/>
        <w:spacing w:after="60"/>
        <w:ind w:left="360" w:hanging="230"/>
      </w:pPr>
      <w:r>
        <w:t>Processing real customer matter data</w:t>
      </w:r>
    </w:p>
    <w:p>
      <w:pPr>
        <w:pStyle w:val="ListBullet"/>
        <w:spacing w:after="60"/>
        <w:ind w:left="360" w:hanging="230"/>
      </w:pPr>
      <w:r>
        <w:t>Operating with the complete intended private Azure architecture</w:t>
      </w:r>
    </w:p>
    <w:p>
      <w:pPr>
        <w:pStyle w:val="ListBullet"/>
        <w:spacing w:after="60"/>
        <w:ind w:left="360" w:hanging="230"/>
      </w:pPr>
      <w:r>
        <w:t>Running the intended multi-round consensus architecture</w:t>
      </w:r>
    </w:p>
    <w:p>
      <w:pPr>
        <w:pStyle w:val="ListBullet"/>
        <w:spacing w:after="60"/>
        <w:ind w:left="360" w:hanging="230"/>
      </w:pPr>
      <w:r>
        <w:t>Supporting every legal-billing file format</w:t>
      </w:r>
    </w:p>
    <w:p>
      <w:pPr>
        <w:pStyle w:val="ListBullet"/>
        <w:spacing w:after="60"/>
        <w:ind w:left="360" w:hanging="230"/>
      </w:pPr>
      <w:r>
        <w:t>Enforcing every possible OCG</w:t>
      </w:r>
    </w:p>
    <w:p>
      <w:pPr>
        <w:pStyle w:val="ListBullet"/>
        <w:spacing w:after="60"/>
        <w:ind w:left="360" w:hanging="230"/>
      </w:pPr>
      <w:r>
        <w:t>Producing validated customer savings</w:t>
      </w:r>
    </w:p>
    <w:p>
      <w:pPr>
        <w:pStyle w:val="ListBullet"/>
        <w:spacing w:after="60"/>
        <w:ind w:left="360" w:hanging="230"/>
      </w:pPr>
      <w:r>
        <w:t>Commercially deployed</w:t>
      </w:r>
    </w:p>
    <w:p>
      <w:r>
        <w:t>Those capabilities should be represented according to their actual implementation state.</w:t>
      </w:r>
    </w:p>
    <w:p>
      <w:r>
        <w:t>The demonstration proves the workflow that actually exists rather than standing in for capabilities that remain on the roadmap.</w:t>
      </w:r>
    </w:p>
    <w:p>
      <w:pPr>
        <w:pStyle w:val="Heading2"/>
      </w:pPr>
      <w:r>
        <w:t>8.21 Public Demo Data Protection</w:t>
      </w:r>
    </w:p>
    <w:p>
      <w:r>
        <w:t>Because the public demonstration uses supplied synthetic data, the interface should discourage or prevent use of arbitrary real matter files.</w:t>
      </w:r>
    </w:p>
    <w:tbl>
      <w:tblPr>
        <w:tblW w:type="auto" w:w="0"/>
        <w:jc w:val="center"/>
        <w:tblLayout w:type="fixed"/>
        <w:tblLook w:firstColumn="1" w:firstRow="1" w:lastColumn="0" w:lastRow="0" w:noHBand="0" w:noVBand="1" w:val="04A0"/>
      </w:tblPr>
      <w:tblGrid>
        <w:gridCol w:w="173"/>
        <w:gridCol w:w="9475"/>
      </w:tblGrid>
      <w:tr>
        <w:tc>
          <w:tcPr>
            <w:tcW w:type="dxa" w:w="4939"/>
            <w:shd w:fill="C89B3C"/>
          </w:tcPr>
          <w:p>
            <w:r/>
          </w:p>
        </w:tc>
        <w:tc>
          <w:tcPr>
            <w:tcW w:type="dxa" w:w="4939"/>
            <w:shd w:fill="F7F2E8"/>
            <w:tcMar>
              <w:top w:w="160" w:type="dxa"/>
              <w:start w:w="160" w:type="dxa"/>
              <w:bottom w:w="160" w:type="dxa"/>
              <w:end w:w="160" w:type="dxa"/>
            </w:tcMar>
          </w:tcPr>
          <w:p>
            <w:pPr>
              <w:pStyle w:val="Callout"/>
            </w:pPr>
            <w:r>
              <w:rPr>
                <w:color w:val="C89B3C"/>
                <w:sz w:val="16"/>
              </w:rPr>
              <w:t>DATA PROTECTION BOUNDARY</w:t>
              <w:br/>
            </w:r>
            <w:r>
              <w:t>Public demonstration environment — supplied synthetic sample data</w:t>
              <w:br/>
              <w:br/>
              <w:t>Customer deployment — actual legal-billing processing inside the customer’s Azure environment</w:t>
            </w:r>
          </w:p>
        </w:tc>
      </w:tr>
    </w:tbl>
    <w:p/>
    <w:p>
      <w:r>
        <w:t>This protects the conceptual boundary between product demonstration and enterprise deployment.</w:t>
      </w:r>
    </w:p>
    <w:p>
      <w:pPr>
        <w:pStyle w:val="Heading2"/>
      </w:pPr>
      <w:r>
        <w:t>8.22 Feedback Capture</w:t>
      </w:r>
    </w:p>
    <w:p>
      <w:r>
        <w:t>The demonstration is also a market-learning instrument.</w:t>
      </w:r>
    </w:p>
    <w:p>
      <w:pPr>
        <w:pStyle w:val="ListBullet"/>
        <w:spacing w:after="60"/>
        <w:ind w:left="360" w:hanging="230"/>
      </w:pPr>
      <w:r>
        <w:t>Whether the workflow was immediately understandable</w:t>
      </w:r>
    </w:p>
    <w:p>
      <w:pPr>
        <w:pStyle w:val="ListBullet"/>
        <w:spacing w:after="60"/>
        <w:ind w:left="360" w:hanging="230"/>
      </w:pPr>
      <w:r>
        <w:t>Whether the results were understandable</w:t>
      </w:r>
    </w:p>
    <w:p>
      <w:pPr>
        <w:pStyle w:val="ListBullet"/>
        <w:spacing w:after="60"/>
        <w:ind w:left="360" w:hanging="230"/>
      </w:pPr>
      <w:r>
        <w:t>Whether the two-file output is useful</w:t>
      </w:r>
    </w:p>
    <w:p>
      <w:pPr>
        <w:pStyle w:val="ListBullet"/>
        <w:spacing w:after="60"/>
        <w:ind w:left="360" w:hanging="230"/>
      </w:pPr>
      <w:r>
        <w:t>Whether the explanations were sufficient</w:t>
      </w:r>
    </w:p>
    <w:p>
      <w:pPr>
        <w:pStyle w:val="ListBullet"/>
        <w:spacing w:after="60"/>
        <w:ind w:left="360" w:hanging="230"/>
      </w:pPr>
      <w:r>
        <w:t>What information the evaluator expected but did not see</w:t>
      </w:r>
    </w:p>
    <w:p>
      <w:pPr>
        <w:pStyle w:val="ListBullet"/>
        <w:spacing w:after="60"/>
        <w:ind w:left="360" w:hanging="230"/>
      </w:pPr>
      <w:r>
        <w:t>Whether the Human Review population was actionable</w:t>
      </w:r>
    </w:p>
    <w:p>
      <w:pPr>
        <w:pStyle w:val="ListBullet"/>
        <w:spacing w:after="60"/>
        <w:ind w:left="360" w:hanging="230"/>
      </w:pPr>
      <w:r>
        <w:t>Whether the evaluator would use the workflow</w:t>
      </w:r>
    </w:p>
    <w:p>
      <w:pPr>
        <w:pStyle w:val="ListBullet"/>
        <w:spacing w:after="60"/>
        <w:ind w:left="360" w:hanging="230"/>
      </w:pPr>
      <w:r>
        <w:t>What would be required for real organizational use</w:t>
      </w:r>
    </w:p>
    <w:p>
      <w:pPr>
        <w:pStyle w:val="Heading2"/>
      </w:pPr>
      <w:r>
        <w:t>8.23 Waitlist / Early Access</w:t>
      </w:r>
    </w:p>
    <w:p>
      <w:r>
        <w:t>The working demonstration should connect naturally to the DRE early-access/waitlist path.</w:t>
      </w:r>
    </w:p>
    <w:p>
      <w:r>
        <w:t>An evaluator who has just interacted with the product should be able to express interest in continued participation without navigating through an unrelated sales process.</w:t>
      </w:r>
    </w:p>
    <w:p>
      <w:r>
        <w:t>The desired progression is:</w:t>
      </w:r>
    </w:p>
    <w:tbl>
      <w:tblPr>
        <w:tblW w:type="auto" w:w="0"/>
        <w:jc w:val="center"/>
        <w:tblLayout w:type="fixed"/>
        <w:tblLook w:firstColumn="1" w:firstRow="1" w:lastColumn="0" w:lastRow="0" w:noHBand="0" w:noVBand="1" w:val="04A0"/>
      </w:tblPr>
      <w:tblGrid>
        <w:gridCol w:w="173"/>
        <w:gridCol w:w="9475"/>
      </w:tblGrid>
      <w:tr>
        <w:tc>
          <w:tcPr>
            <w:tcW w:type="dxa" w:w="4939"/>
            <w:shd w:fill="2E7D7A"/>
          </w:tcPr>
          <w:p>
            <w:r/>
          </w:p>
        </w:tc>
        <w:tc>
          <w:tcPr>
            <w:tcW w:type="dxa" w:w="4939"/>
            <w:shd w:fill="EAF1F5"/>
            <w:tcMar>
              <w:top w:w="160" w:type="dxa"/>
              <w:start w:w="160" w:type="dxa"/>
              <w:bottom w:w="160" w:type="dxa"/>
              <w:end w:w="160" w:type="dxa"/>
            </w:tcMar>
          </w:tcPr>
          <w:p>
            <w:pPr>
              <w:pStyle w:val="Callout"/>
            </w:pPr>
            <w:r>
              <w:rPr>
                <w:color w:val="2E7D7A"/>
                <w:sz w:val="16"/>
              </w:rPr>
              <w:t>EVALUATOR PROGRESSION</w:t>
              <w:br/>
            </w:r>
            <w:r>
              <w:t>See DRE → Try DRE → Understand the result → Give feedback → Join early access / waitlist.</w:t>
            </w:r>
          </w:p>
        </w:tc>
      </w:tr>
    </w:tbl>
    <w:p/>
    <w:p>
      <w:r>
        <w:t>This allows product demonstration and market validation to reinforce each other.</w:t>
      </w:r>
    </w:p>
    <w:p>
      <w:pPr>
        <w:pStyle w:val="Heading2"/>
      </w:pPr>
      <w:r>
        <w:t>8.24 Reviews and User Input</w:t>
      </w:r>
    </w:p>
    <w:p>
      <w:r>
        <w:t>The website direction also includes persistent capture for evaluator input.</w:t>
      </w:r>
    </w:p>
    <w:p>
      <w:pPr>
        <w:pStyle w:val="ListBullet"/>
        <w:spacing w:after="60"/>
        <w:ind w:left="360" w:hanging="230"/>
      </w:pPr>
      <w:r>
        <w:t>Contact information</w:t>
      </w:r>
    </w:p>
    <w:p>
      <w:pPr>
        <w:pStyle w:val="ListBullet"/>
        <w:spacing w:after="60"/>
        <w:ind w:left="360" w:hanging="230"/>
      </w:pPr>
      <w:r>
        <w:t>Waitlist/early-access interest</w:t>
      </w:r>
    </w:p>
    <w:p>
      <w:pPr>
        <w:pStyle w:val="ListBullet"/>
        <w:spacing w:after="60"/>
        <w:ind w:left="360" w:hanging="230"/>
      </w:pPr>
      <w:r>
        <w:t>Private product feedback</w:t>
      </w:r>
    </w:p>
    <w:p>
      <w:pPr>
        <w:pStyle w:val="ListBullet"/>
        <w:spacing w:after="60"/>
        <w:ind w:left="360" w:hanging="230"/>
      </w:pPr>
      <w:r>
        <w:t>Named reviews</w:t>
      </w:r>
    </w:p>
    <w:p>
      <w:pPr>
        <w:pStyle w:val="ListBullet"/>
        <w:spacing w:after="60"/>
        <w:ind w:left="360" w:hanging="230"/>
      </w:pPr>
      <w:r>
        <w:t>User/customer input</w:t>
      </w:r>
    </w:p>
    <w:p>
      <w:pPr>
        <w:pStyle w:val="Heading2"/>
      </w:pPr>
      <w:r>
        <w:t>8.25 Demonstration as Product-Learning Infrastructure</w:t>
      </w:r>
    </w:p>
    <w:p>
      <w:r>
        <w:t>The demo is not merely a temporary sales prop.</w:t>
      </w:r>
    </w:p>
    <w:p>
      <w:pPr>
        <w:pStyle w:val="ListBullet"/>
        <w:spacing w:after="60"/>
        <w:ind w:left="360" w:hanging="230"/>
      </w:pPr>
      <w:r>
        <w:t>Which terminology is confusing</w:t>
      </w:r>
    </w:p>
    <w:p>
      <w:pPr>
        <w:pStyle w:val="ListBullet"/>
        <w:spacing w:after="60"/>
        <w:ind w:left="360" w:hanging="230"/>
      </w:pPr>
      <w:r>
        <w:t>Which results require more explanation</w:t>
      </w:r>
    </w:p>
    <w:p>
      <w:pPr>
        <w:pStyle w:val="ListBullet"/>
        <w:spacing w:after="60"/>
        <w:ind w:left="360" w:hanging="230"/>
      </w:pPr>
      <w:r>
        <w:t>Which information reviewers actually use</w:t>
      </w:r>
    </w:p>
    <w:p>
      <w:pPr>
        <w:pStyle w:val="ListBullet"/>
        <w:spacing w:after="60"/>
        <w:ind w:left="360" w:hanging="230"/>
      </w:pPr>
      <w:r>
        <w:t>Which output format is useful</w:t>
      </w:r>
    </w:p>
    <w:p>
      <w:pPr>
        <w:pStyle w:val="ListBullet"/>
        <w:spacing w:after="60"/>
        <w:ind w:left="360" w:hanging="230"/>
      </w:pPr>
      <w:r>
        <w:t>Which steps create unnecessary friction</w:t>
      </w:r>
    </w:p>
    <w:p>
      <w:pPr>
        <w:pStyle w:val="ListBullet"/>
        <w:spacing w:after="60"/>
        <w:ind w:left="360" w:hanging="230"/>
      </w:pPr>
      <w:r>
        <w:t>Which billing conditions users expect DRE to recognize</w:t>
      </w:r>
    </w:p>
    <w:p>
      <w:pPr>
        <w:pStyle w:val="ListBullet"/>
        <w:spacing w:after="60"/>
        <w:ind w:left="360" w:hanging="230"/>
      </w:pPr>
      <w:r>
        <w:t>Which features users assume should exist</w:t>
      </w:r>
    </w:p>
    <w:p>
      <w:pPr>
        <w:pStyle w:val="ListBullet"/>
        <w:spacing w:after="60"/>
        <w:ind w:left="360" w:hanging="230"/>
      </w:pPr>
      <w:r>
        <w:t>Which concerns prevent adoption</w:t>
      </w:r>
    </w:p>
    <w:p>
      <w:pPr>
        <w:pStyle w:val="Heading2"/>
      </w:pPr>
      <w:r>
        <w:t>8.26 Demonstration as Evidence</w:t>
      </w:r>
    </w:p>
    <w:p>
      <w:r>
        <w:t>A working demonstration materially changes what can be said about DRE.</w:t>
      </w:r>
    </w:p>
    <w:p>
      <w:pPr>
        <w:pStyle w:val="ListBullet"/>
        <w:spacing w:after="60"/>
        <w:ind w:left="360" w:hanging="230"/>
      </w:pPr>
      <w:r>
        <w:t>Architecture</w:t>
      </w:r>
    </w:p>
    <w:p>
      <w:pPr>
        <w:pStyle w:val="ListBullet"/>
        <w:spacing w:after="60"/>
        <w:ind w:left="360" w:hanging="230"/>
      </w:pPr>
      <w:r>
        <w:t>Source code</w:t>
      </w:r>
    </w:p>
    <w:p>
      <w:pPr>
        <w:pStyle w:val="ListBullet"/>
        <w:spacing w:after="60"/>
        <w:ind w:left="360" w:hanging="230"/>
      </w:pPr>
      <w:r>
        <w:t>Component documentation</w:t>
      </w:r>
    </w:p>
    <w:p>
      <w:pPr>
        <w:pStyle w:val="ListBullet"/>
        <w:spacing w:after="60"/>
        <w:ind w:left="360" w:hanging="230"/>
      </w:pPr>
      <w:r>
        <w:t>Infrastructure definitions</w:t>
      </w:r>
    </w:p>
    <w:p>
      <w:pPr>
        <w:pStyle w:val="ListBullet"/>
        <w:spacing w:after="60"/>
        <w:ind w:left="360" w:hanging="230"/>
      </w:pPr>
      <w:r>
        <w:t>Synthetic data</w:t>
      </w:r>
    </w:p>
    <w:p>
      <w:pPr>
        <w:pStyle w:val="ListBullet"/>
        <w:spacing w:after="60"/>
        <w:ind w:left="360" w:hanging="230"/>
      </w:pPr>
      <w:r>
        <w:t>Product design</w:t>
      </w:r>
    </w:p>
    <w:p>
      <w:r>
        <w:t>After the demo is operating, DRE also has observable product behavior.</w:t>
      </w:r>
    </w:p>
    <w:p>
      <w:r>
        <w:t>That creates evidence that evaluators can inspect directly:</w:t>
      </w:r>
    </w:p>
    <w:tbl>
      <w:tblPr>
        <w:tblW w:type="auto" w:w="0"/>
        <w:jc w:val="center"/>
        <w:tblLayout w:type="fixed"/>
        <w:tblLook w:firstColumn="1" w:firstRow="1" w:lastColumn="0" w:lastRow="0" w:noHBand="0" w:noVBand="1" w:val="04A0"/>
      </w:tblPr>
      <w:tblGrid>
        <w:gridCol w:w="173"/>
        <w:gridCol w:w="9475"/>
      </w:tblGrid>
      <w:tr>
        <w:tc>
          <w:tcPr>
            <w:tcW w:type="dxa" w:w="4939"/>
            <w:shd w:fill="2E7D7A"/>
          </w:tcPr>
          <w:p>
            <w:r/>
          </w:p>
        </w:tc>
        <w:tc>
          <w:tcPr>
            <w:tcW w:type="dxa" w:w="4939"/>
            <w:shd w:fill="EAF1F5"/>
            <w:tcMar>
              <w:top w:w="160" w:type="dxa"/>
              <w:start w:w="160" w:type="dxa"/>
              <w:bottom w:w="160" w:type="dxa"/>
              <w:end w:w="160" w:type="dxa"/>
            </w:tcMar>
          </w:tcPr>
          <w:p>
            <w:pPr>
              <w:pStyle w:val="Callout"/>
            </w:pPr>
            <w:r>
              <w:rPr>
                <w:color w:val="2E7D7A"/>
                <w:sz w:val="16"/>
              </w:rPr>
              <w:t>OBSERVABLE PRODUCT EVIDENCE</w:t>
              <w:br/>
            </w:r>
            <w:r>
              <w:t>A file entered. DRE processed it. Transactions followed identifiable review paths. Results were separated. Outputs were produced.</w:t>
            </w:r>
          </w:p>
        </w:tc>
      </w:tr>
    </w:tbl>
    <w:p/>
    <w:p>
      <w:r>
        <w:t>The demonstration does not prove production readiness, but it moves DRE from purely documented architecture toward demonstrated software.</w:t>
      </w:r>
    </w:p>
    <w:p>
      <w:pPr>
        <w:pStyle w:val="Heading2"/>
      </w:pPr>
      <w:r>
        <w:t>8.27 Demonstration Success Criteria</w:t>
      </w:r>
    </w:p>
    <w:p>
      <w:r>
        <w:t>The working demonstration succeeds when an evaluator can:</w:t>
      </w:r>
    </w:p>
    <w:p>
      <w:pPr>
        <w:pStyle w:val="ListBullet"/>
        <w:spacing w:after="60"/>
        <w:ind w:left="360" w:hanging="230"/>
      </w:pPr>
      <w:r>
        <w:t>1. Arrive without needing technical instruction.</w:t>
      </w:r>
    </w:p>
    <w:p>
      <w:pPr>
        <w:pStyle w:val="ListBullet"/>
        <w:spacing w:after="60"/>
        <w:ind w:left="360" w:hanging="230"/>
      </w:pPr>
      <w:r>
        <w:t>2. Understand what DRE does.</w:t>
      </w:r>
    </w:p>
    <w:p>
      <w:pPr>
        <w:pStyle w:val="ListBullet"/>
        <w:spacing w:after="60"/>
        <w:ind w:left="360" w:hanging="230"/>
      </w:pPr>
      <w:r>
        <w:t>3. Obtain the supplied synthetic legal-billing sample.</w:t>
      </w:r>
    </w:p>
    <w:p>
      <w:pPr>
        <w:pStyle w:val="ListBullet"/>
        <w:spacing w:after="60"/>
        <w:ind w:left="360" w:hanging="230"/>
      </w:pPr>
      <w:r>
        <w:t>4. Select or drag that sample into DRE.</w:t>
      </w:r>
    </w:p>
    <w:p>
      <w:pPr>
        <w:pStyle w:val="ListBullet"/>
        <w:spacing w:after="60"/>
        <w:ind w:left="360" w:hanging="230"/>
      </w:pPr>
      <w:r>
        <w:t>5. Initiate actual processing.</w:t>
      </w:r>
    </w:p>
    <w:p>
      <w:pPr>
        <w:pStyle w:val="ListBullet"/>
        <w:spacing w:after="60"/>
        <w:ind w:left="360" w:hanging="230"/>
      </w:pPr>
      <w:r>
        <w:t>6. See the deterministic review occur.</w:t>
      </w:r>
    </w:p>
    <w:p>
      <w:pPr>
        <w:pStyle w:val="ListBullet"/>
        <w:spacing w:after="60"/>
        <w:ind w:left="360" w:hanging="230"/>
      </w:pPr>
      <w:r>
        <w:t>7. See which transactions required consensus.</w:t>
      </w:r>
    </w:p>
    <w:p>
      <w:pPr>
        <w:pStyle w:val="ListBullet"/>
        <w:spacing w:after="60"/>
        <w:ind w:left="360" w:hanging="230"/>
      </w:pPr>
      <w:r>
        <w:t>8. See the run counts.</w:t>
      </w:r>
    </w:p>
    <w:p>
      <w:pPr>
        <w:pStyle w:val="ListBullet"/>
        <w:spacing w:after="60"/>
        <w:ind w:left="360" w:hanging="230"/>
      </w:pPr>
      <w:r>
        <w:t>9. Understand which items cleared automated review.</w:t>
      </w:r>
    </w:p>
    <w:p>
      <w:pPr>
        <w:pStyle w:val="ListBullet"/>
        <w:spacing w:after="60"/>
        <w:ind w:left="360" w:hanging="230"/>
      </w:pPr>
      <w:r>
        <w:t>10. Understand which items require human attention.</w:t>
      </w:r>
    </w:p>
    <w:p>
      <w:pPr>
        <w:pStyle w:val="ListBullet"/>
        <w:spacing w:after="60"/>
        <w:ind w:left="360" w:hanging="230"/>
      </w:pPr>
      <w:r>
        <w:t>11. Inspect understandable transaction-level reasoning.</w:t>
      </w:r>
    </w:p>
    <w:p>
      <w:pPr>
        <w:pStyle w:val="ListBullet"/>
        <w:spacing w:after="60"/>
        <w:ind w:left="360" w:hanging="230"/>
      </w:pPr>
      <w:r>
        <w:t>12. Download PASSED CONSENSUS.</w:t>
      </w:r>
    </w:p>
    <w:p>
      <w:pPr>
        <w:pStyle w:val="ListBullet"/>
        <w:spacing w:after="60"/>
        <w:ind w:left="360" w:hanging="230"/>
      </w:pPr>
      <w:r>
        <w:t>13. Download HUMAN REVIEW.</w:t>
      </w:r>
    </w:p>
    <w:p>
      <w:pPr>
        <w:pStyle w:val="ListBullet"/>
        <w:spacing w:after="60"/>
        <w:ind w:left="360" w:hanging="230"/>
      </w:pPr>
      <w:r>
        <w:t>14. Understand that actual customer matter processing belongs in the customer’s Azure environment.</w:t>
      </w:r>
    </w:p>
    <w:p>
      <w:pPr>
        <w:pStyle w:val="ListBullet"/>
        <w:spacing w:after="60"/>
        <w:ind w:left="360" w:hanging="230"/>
      </w:pPr>
      <w:r>
        <w:t>15. Provide feedback.</w:t>
      </w:r>
    </w:p>
    <w:p>
      <w:pPr>
        <w:pStyle w:val="ListBullet"/>
        <w:spacing w:after="60"/>
        <w:ind w:left="360" w:hanging="230"/>
      </w:pPr>
      <w:r>
        <w:t>16. Express interest in early access.</w:t>
      </w:r>
    </w:p>
    <w:tbl>
      <w:tblPr>
        <w:tblW w:type="auto" w:w="0"/>
        <w:jc w:val="center"/>
        <w:tblLayout w:type="fixed"/>
        <w:tblLook w:firstColumn="1" w:firstRow="1" w:lastColumn="0" w:lastRow="0" w:noHBand="0" w:noVBand="1" w:val="04A0"/>
      </w:tblPr>
      <w:tblGrid>
        <w:gridCol w:w="173"/>
        <w:gridCol w:w="9475"/>
      </w:tblGrid>
      <w:tr>
        <w:tc>
          <w:tcPr>
            <w:tcW w:type="dxa" w:w="4939"/>
            <w:shd w:fill="2E7D7A"/>
          </w:tcPr>
          <w:p>
            <w:r/>
          </w:p>
        </w:tc>
        <w:tc>
          <w:tcPr>
            <w:tcW w:type="dxa" w:w="4939"/>
            <w:shd w:fill="EAF1F5"/>
            <w:tcMar>
              <w:top w:w="160" w:type="dxa"/>
              <w:start w:w="160" w:type="dxa"/>
              <w:bottom w:w="160" w:type="dxa"/>
              <w:end w:w="160" w:type="dxa"/>
            </w:tcMar>
          </w:tcPr>
          <w:p>
            <w:pPr>
              <w:pStyle w:val="Callout"/>
            </w:pPr>
            <w:r>
              <w:rPr>
                <w:color w:val="2E7D7A"/>
                <w:sz w:val="16"/>
              </w:rPr>
              <w:t>DEMONSTRATION SUCCESS</w:t>
              <w:br/>
            </w:r>
            <w:r>
              <w:t>That is the working demonstration DRE needs: small enough to understand immediately, real enough to evaluate, and disciplined enough not to claim that the demo is already the finished enterprise product.</w:t>
            </w:r>
          </w:p>
        </w:tc>
      </w:tr>
    </w:tbl>
    <w:p/>
    <w:sectPr w:rsidR="00FC693F" w:rsidRPr="0006063C" w:rsidSect="00034616">
      <w:headerReference w:type="default" r:id="rId9"/>
      <w:footerReference w:type="default" r:id="rId10"/>
      <w:pgSz w:w="12240" w:h="15840"/>
      <w:pgMar w:top="1037" w:right="1181" w:bottom="1037" w:left="1181"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Aptos" w:hAnsi="Aptos"/>
        <w:b/>
        <w:color w:val="2E7D7A"/>
        <w:sz w:val="16"/>
      </w:rPr>
      <w:t>ENGINEERED LAUNCH  •  INTERNAL PLANNING</w:t>
    </w:r>
  </w:p>
  <w:p>
    <w:pPr>
      <w:jc w:val="right"/>
    </w:pPr>
    <w:r>
      <w:fldChar w:fldCharType="begin"/>
      <w:instrText>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Aptos" w:hAnsi="Aptos"/>
        <w:b/>
        <w:color w:val="2E7D7A"/>
        <w:sz w:val="17"/>
      </w:rPr>
      <w:t>DRE  |  INTERNAL PRODUCT, DEPLOYMENT &amp; COMMERCIALIZATION PLAN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color w:val="24313C"/>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00" w:after="160"/>
      <w:outlineLvl w:val="0"/>
    </w:pPr>
    <w:rPr>
      <w:rFonts w:asciiTheme="majorHAnsi" w:eastAsiaTheme="majorEastAsia" w:hAnsiTheme="majorHAnsi" w:cstheme="majorBidi" w:ascii="Aptos Display" w:hAnsi="Aptos Display"/>
      <w:b/>
      <w:bCs/>
      <w:color w:val="16324F"/>
      <w:sz w:val="40"/>
      <w:szCs w:val="28"/>
    </w:rPr>
  </w:style>
  <w:style w:type="paragraph" w:styleId="Heading2">
    <w:name w:val="heading 2"/>
    <w:basedOn w:val="Normal"/>
    <w:next w:val="Normal"/>
    <w:link w:val="Heading2Char"/>
    <w:uiPriority w:val="9"/>
    <w:unhideWhenUsed/>
    <w:qFormat/>
    <w:rsid w:val="00FC693F"/>
    <w:pPr>
      <w:keepNext/>
      <w:keepLines/>
      <w:spacing w:before="280" w:after="100"/>
      <w:outlineLvl w:val="1"/>
    </w:pPr>
    <w:rPr>
      <w:rFonts w:asciiTheme="majorHAnsi" w:eastAsiaTheme="majorEastAsia" w:hAnsiTheme="majorHAnsi" w:cstheme="majorBidi" w:ascii="Aptos Display" w:hAnsi="Aptos Display"/>
      <w:b/>
      <w:bCs/>
      <w:color w:val="1F5F8B"/>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ptos" w:hAnsi="Aptos"/>
      <w:b/>
      <w:bCs/>
      <w:i/>
      <w:color w:val="5C6B76"/>
      <w:sz w:val="17"/>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allout">
    <w:name w:val="Callout"/>
    <w:rPr>
      <w:rFonts w:ascii="Aptos" w:hAnsi="Aptos"/>
      <w:b/>
      <w:color w:val="16324F"/>
      <w:sz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oreProperties xmlns:dc="http://purl.org/dc/elements/1.1/" xmlns:dcterms="http://purl.org/dc/terms/" xmlns:xsi="http://www.w3.org/2001/XMLSchema-instance" xmlns="http://schemas.openxmlformats.org/package/2006/metadata/core-properties">
  <dc:title>DRE — Internal Product, Deployment &amp; Commercialization Plan</dc:title>
  <dc:subject>Part 2 — Sections 5–8</dc:subject>
  <dc:creator>Jamie Schallert</dc:creator>
  <keywords/>
  <dc:description>generated by python-docx</dc:description>
  <lastModifiedBy>Jamie Schallert</lastModifiedBy>
  <revision>1</revision>
  <dcterms:created xsi:type="dcterms:W3CDTF">2026-09-14T00:35:03.0973162Z</dcterms:created>
  <dcterms:modified xsi:type="dcterms:W3CDTF">2026-09-14T00:35:03.0973162Z</dcterms:modified>
  <category/>
</coreProperties>
</file>