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300"/>
      </w:pPr>
      <w:r>
        <w:rPr>
          <w:b/>
          <w:color w:val="2E7D7A"/>
          <w:sz w:val="20"/>
        </w:rPr>
        <w:t>ENGINEERED LAUNCH</w:t>
      </w:r>
    </w:p>
    <w:p>
      <w:pPr>
        <w:pStyle w:val="Title"/>
      </w:pPr>
      <w:r>
        <w:t>DRE — Internal Product,</w:t>
        <w:br/>
        <w:t>Deployment &amp; Commercialization Plan</w:t>
      </w:r>
    </w:p>
    <w:p>
      <w:r>
        <w:rPr>
          <w:b/>
          <w:color w:val="1F5F8B"/>
          <w:sz w:val="24"/>
        </w:rPr>
        <w:t>PART 1  |  SECTIONS 1–4</w:t>
      </w:r>
    </w:p>
    <w:p>
      <w:pPr>
        <w:spacing w:before="220"/>
      </w:pPr>
      <w:r>
        <w:rPr>
          <w:color w:val="16324F"/>
          <w:sz w:val="30"/>
        </w:rPr>
        <w:t>DRE / Dr. E — Deterministic Review Engine</w:t>
      </w:r>
    </w:p>
    <w:tbl>
      <w:tblPr>
        <w:tblW w:type="auto" w:w="0"/>
        <w:jc w:val="left"/>
        <w:tblLayout w:type="fixed"/>
        <w:tblLook w:firstColumn="1" w:firstRow="1" w:lastColumn="0" w:lastRow="0" w:noHBand="0" w:noVBand="1" w:val="04A0"/>
      </w:tblPr>
      <w:tblGrid>
        <w:gridCol w:w="8064"/>
      </w:tblGrid>
      <w:tr>
        <w:tc>
          <w:tcPr>
            <w:tcW w:type="dxa" w:w="9878"/>
            <w:shd w:fill="16324F"/>
            <w:tcMar>
              <w:top w:w="90" w:type="dxa"/>
              <w:start w:w="110" w:type="dxa"/>
              <w:bottom w:w="90" w:type="dxa"/>
              <w:end w:w="110" w:type="dxa"/>
            </w:tcMar>
            <w:vAlign w:val="center"/>
          </w:tcPr>
          <w:p>
            <w:pPr>
              <w:spacing w:after="0" w:line="240" w:lineRule="auto"/>
              <w:jc w:val="center"/>
            </w:pPr>
            <w:r/>
            <w:r>
              <w:rPr>
                <w:rFonts w:ascii="Aptos" w:hAnsi="Aptos"/>
                <w:b/>
                <w:color w:val="FFFFFF"/>
                <w:sz w:val="20"/>
              </w:rPr>
              <w:t>INTERNAL PRODUCT  •  DEPLOYMENT  •  COMMERCIALIZATION</w:t>
            </w:r>
          </w:p>
        </w:tc>
      </w:tr>
    </w:tbl>
    <w:p>
      <w:pPr>
        <w:spacing w:before="2900"/>
      </w:pPr>
    </w:p>
    <w:p>
      <w:r>
        <w:rPr>
          <w:color w:val="5C6B76"/>
          <w:sz w:val="18"/>
        </w:rPr>
        <w:t>Legal owner: Jamie Lynn Schallert / Engineered Launch</w:t>
      </w:r>
    </w:p>
    <w:p>
      <w:r>
        <w:br w:type="page"/>
      </w:r>
    </w:p>
    <w:p>
      <w:pPr>
        <w:pStyle w:val="Heading1"/>
        <w:keepNext/>
      </w:pPr>
      <w:r>
        <w:t>1. Executive Snapshot</w:t>
      </w:r>
    </w:p>
    <w:tbl>
      <w:tblPr>
        <w:tblStyle w:val="TableGrid"/>
        <w:tblW w:type="auto" w:w="0"/>
        <w:jc w:val="center"/>
        <w:tblLayout w:type="fixed"/>
        <w:tblLook w:firstColumn="1" w:firstRow="1" w:lastColumn="0" w:lastRow="0" w:noHBand="0" w:noVBand="1" w:val="04A0"/>
      </w:tblPr>
      <w:tblGrid>
        <w:gridCol w:w="2376"/>
        <w:gridCol w:w="7272"/>
      </w:tblGrid>
      <w:tr>
        <w:trPr>
          <w:tblHeader w:val="true"/>
        </w:trPr>
        <w:tc>
          <w:tcPr>
            <w:tcW w:type="dxa" w:w="4939"/>
            <w:vAlign w:val="center"/>
            <w:tcMar>
              <w:top w:w="90" w:type="dxa"/>
              <w:start w:w="110" w:type="dxa"/>
              <w:bottom w:w="90" w:type="dxa"/>
              <w:end w:w="110" w:type="dxa"/>
            </w:tcMar>
            <w:shd w:fill="16324F"/>
          </w:tcPr>
          <w:p>
            <w:pPr>
              <w:spacing w:after="0" w:line="240" w:lineRule="auto"/>
              <w:jc w:val="left"/>
            </w:pPr>
            <w:r/>
            <w:r>
              <w:rPr>
                <w:rFonts w:ascii="Aptos" w:hAnsi="Aptos"/>
                <w:b/>
                <w:color w:val="FFFFFF"/>
                <w:sz w:val="16"/>
              </w:rPr>
              <w:t>Snapshot</w:t>
            </w:r>
          </w:p>
        </w:tc>
        <w:tc>
          <w:tcPr>
            <w:tcW w:type="dxa" w:w="4939"/>
            <w:vAlign w:val="center"/>
            <w:tcMar>
              <w:top w:w="90" w:type="dxa"/>
              <w:start w:w="110" w:type="dxa"/>
              <w:bottom w:w="90" w:type="dxa"/>
              <w:end w:w="110" w:type="dxa"/>
            </w:tcMar>
            <w:shd w:fill="16324F"/>
          </w:tcPr>
          <w:p>
            <w:pPr>
              <w:spacing w:after="0" w:line="240" w:lineRule="auto"/>
              <w:jc w:val="left"/>
            </w:pPr>
            <w:r/>
            <w:r>
              <w:rPr>
                <w:rFonts w:ascii="Aptos" w:hAnsi="Aptos"/>
                <w:b/>
                <w:color w:val="FFFFFF"/>
                <w:sz w:val="16"/>
              </w:rPr>
              <w:t>Approved definition</w:t>
            </w:r>
          </w:p>
        </w:tc>
      </w:tr>
      <w:tr>
        <w:trPr>
          <w:cantSplit/>
        </w:trPr>
        <w:tc>
          <w:tcPr>
            <w:tcW w:type="dxa" w:w="2376"/>
            <w:vAlign w:val="center"/>
            <w:tcMar>
              <w:top w:w="90" w:type="dxa"/>
              <w:start w:w="110" w:type="dxa"/>
              <w:bottom w:w="90" w:type="dxa"/>
              <w:end w:w="110" w:type="dxa"/>
            </w:tcMar>
            <w:shd w:fill="FFFFFF"/>
          </w:tcPr>
          <w:p>
            <w:pPr>
              <w:spacing w:after="0" w:line="240" w:lineRule="auto"/>
              <w:jc w:val="left"/>
            </w:pPr>
            <w:r/>
            <w:r>
              <w:rPr>
                <w:rFonts w:ascii="Aptos" w:hAnsi="Aptos"/>
                <w:b w:val="0"/>
                <w:color w:val="24313C"/>
                <w:sz w:val="17"/>
              </w:rPr>
              <w:t>Company</w:t>
            </w:r>
          </w:p>
        </w:tc>
        <w:tc>
          <w:tcPr>
            <w:tcW w:type="dxa" w:w="7272"/>
            <w:vAlign w:val="center"/>
            <w:tcMar>
              <w:top w:w="90" w:type="dxa"/>
              <w:start w:w="110" w:type="dxa"/>
              <w:bottom w:w="90" w:type="dxa"/>
              <w:end w:w="110" w:type="dxa"/>
            </w:tcMar>
            <w:shd w:fill="FFFFFF"/>
          </w:tcPr>
          <w:p>
            <w:pPr>
              <w:spacing w:after="0" w:line="240" w:lineRule="auto"/>
              <w:jc w:val="left"/>
            </w:pPr>
            <w:r/>
            <w:r>
              <w:rPr>
                <w:rFonts w:ascii="Aptos" w:hAnsi="Aptos"/>
                <w:b w:val="0"/>
                <w:color w:val="24313C"/>
                <w:sz w:val="17"/>
              </w:rPr>
              <w:t>Engineered Launch</w:t>
            </w:r>
          </w:p>
        </w:tc>
      </w:tr>
      <w:tr>
        <w:trPr>
          <w:cantSplit/>
        </w:trPr>
        <w:tc>
          <w:tcPr>
            <w:tcW w:type="dxa" w:w="2376"/>
            <w:vAlign w:val="center"/>
            <w:tcMar>
              <w:top w:w="90" w:type="dxa"/>
              <w:start w:w="110" w:type="dxa"/>
              <w:bottom w:w="90" w:type="dxa"/>
              <w:end w:w="110" w:type="dxa"/>
            </w:tcMar>
            <w:shd w:fill="F4F7F9"/>
          </w:tcPr>
          <w:p>
            <w:pPr>
              <w:spacing w:after="0" w:line="240" w:lineRule="auto"/>
              <w:jc w:val="left"/>
            </w:pPr>
            <w:r/>
            <w:r>
              <w:rPr>
                <w:rFonts w:ascii="Aptos" w:hAnsi="Aptos"/>
                <w:b w:val="0"/>
                <w:color w:val="24313C"/>
                <w:sz w:val="17"/>
              </w:rPr>
              <w:t>Product</w:t>
            </w:r>
          </w:p>
        </w:tc>
        <w:tc>
          <w:tcPr>
            <w:tcW w:type="dxa" w:w="7272"/>
            <w:vAlign w:val="center"/>
            <w:tcMar>
              <w:top w:w="90" w:type="dxa"/>
              <w:start w:w="110" w:type="dxa"/>
              <w:bottom w:w="90" w:type="dxa"/>
              <w:end w:w="110" w:type="dxa"/>
            </w:tcMar>
            <w:shd w:fill="F4F7F9"/>
          </w:tcPr>
          <w:p>
            <w:pPr>
              <w:spacing w:after="0" w:line="240" w:lineRule="auto"/>
              <w:jc w:val="left"/>
            </w:pPr>
            <w:r/>
            <w:r>
              <w:rPr>
                <w:rFonts w:ascii="Aptos" w:hAnsi="Aptos"/>
                <w:b w:val="0"/>
                <w:color w:val="24313C"/>
                <w:sz w:val="17"/>
              </w:rPr>
              <w:t>DRE / Dr. E — Deterministic Review Engine</w:t>
            </w:r>
          </w:p>
        </w:tc>
      </w:tr>
      <w:tr>
        <w:trPr>
          <w:cantSplit/>
        </w:trPr>
        <w:tc>
          <w:tcPr>
            <w:tcW w:type="dxa" w:w="2376"/>
            <w:vAlign w:val="center"/>
            <w:tcMar>
              <w:top w:w="90" w:type="dxa"/>
              <w:start w:w="110" w:type="dxa"/>
              <w:bottom w:w="90" w:type="dxa"/>
              <w:end w:w="110" w:type="dxa"/>
            </w:tcMar>
            <w:shd w:fill="FFFFFF"/>
          </w:tcPr>
          <w:p>
            <w:pPr>
              <w:spacing w:after="0" w:line="240" w:lineRule="auto"/>
              <w:jc w:val="left"/>
            </w:pPr>
            <w:r/>
            <w:r>
              <w:rPr>
                <w:rFonts w:ascii="Aptos" w:hAnsi="Aptos"/>
                <w:b w:val="0"/>
                <w:color w:val="24313C"/>
                <w:sz w:val="17"/>
              </w:rPr>
              <w:t>Legal owner</w:t>
            </w:r>
          </w:p>
        </w:tc>
        <w:tc>
          <w:tcPr>
            <w:tcW w:type="dxa" w:w="7272"/>
            <w:vAlign w:val="center"/>
            <w:tcMar>
              <w:top w:w="90" w:type="dxa"/>
              <w:start w:w="110" w:type="dxa"/>
              <w:bottom w:w="90" w:type="dxa"/>
              <w:end w:w="110" w:type="dxa"/>
            </w:tcMar>
            <w:shd w:fill="FFFFFF"/>
          </w:tcPr>
          <w:p>
            <w:pPr>
              <w:spacing w:after="0" w:line="240" w:lineRule="auto"/>
              <w:jc w:val="left"/>
            </w:pPr>
            <w:r/>
            <w:r>
              <w:rPr>
                <w:rFonts w:ascii="Aptos" w:hAnsi="Aptos"/>
                <w:b w:val="0"/>
                <w:color w:val="24313C"/>
                <w:sz w:val="17"/>
              </w:rPr>
              <w:t>Jamie Lynn Schallert / Engineered Launch</w:t>
            </w:r>
          </w:p>
        </w:tc>
      </w:tr>
      <w:tr>
        <w:trPr>
          <w:cantSplit/>
        </w:trPr>
        <w:tc>
          <w:tcPr>
            <w:tcW w:type="dxa" w:w="2376"/>
            <w:vAlign w:val="center"/>
            <w:tcMar>
              <w:top w:w="90" w:type="dxa"/>
              <w:start w:w="110" w:type="dxa"/>
              <w:bottom w:w="90" w:type="dxa"/>
              <w:end w:w="110" w:type="dxa"/>
            </w:tcMar>
            <w:shd w:fill="F4F7F9"/>
          </w:tcPr>
          <w:p>
            <w:pPr>
              <w:spacing w:after="0" w:line="240" w:lineRule="auto"/>
              <w:jc w:val="left"/>
            </w:pPr>
            <w:r/>
            <w:r>
              <w:rPr>
                <w:rFonts w:ascii="Aptos" w:hAnsi="Aptos"/>
                <w:b w:val="0"/>
                <w:color w:val="24313C"/>
                <w:sz w:val="17"/>
              </w:rPr>
              <w:t>Initial market</w:t>
            </w:r>
          </w:p>
        </w:tc>
        <w:tc>
          <w:tcPr>
            <w:tcW w:type="dxa" w:w="7272"/>
            <w:vAlign w:val="center"/>
            <w:tcMar>
              <w:top w:w="90" w:type="dxa"/>
              <w:start w:w="110" w:type="dxa"/>
              <w:bottom w:w="90" w:type="dxa"/>
              <w:end w:w="110" w:type="dxa"/>
            </w:tcMar>
            <w:shd w:fill="F4F7F9"/>
          </w:tcPr>
          <w:p>
            <w:pPr>
              <w:spacing w:after="0" w:line="240" w:lineRule="auto"/>
              <w:jc w:val="left"/>
            </w:pPr>
            <w:r/>
            <w:r>
              <w:rPr>
                <w:rFonts w:ascii="Aptos" w:hAnsi="Aptos"/>
                <w:b w:val="0"/>
                <w:color w:val="24313C"/>
                <w:sz w:val="17"/>
              </w:rPr>
              <w:t>Corporate legal departments and legal operations</w:t>
            </w:r>
          </w:p>
        </w:tc>
      </w:tr>
      <w:tr>
        <w:trPr>
          <w:cantSplit/>
        </w:trPr>
        <w:tc>
          <w:tcPr>
            <w:tcW w:type="dxa" w:w="2376"/>
            <w:vAlign w:val="center"/>
            <w:tcMar>
              <w:top w:w="90" w:type="dxa"/>
              <w:start w:w="110" w:type="dxa"/>
              <w:bottom w:w="90" w:type="dxa"/>
              <w:end w:w="110" w:type="dxa"/>
            </w:tcMar>
            <w:shd w:fill="FFFFFF"/>
          </w:tcPr>
          <w:p>
            <w:pPr>
              <w:spacing w:after="0" w:line="240" w:lineRule="auto"/>
              <w:jc w:val="left"/>
            </w:pPr>
            <w:r/>
            <w:r>
              <w:rPr>
                <w:rFonts w:ascii="Aptos" w:hAnsi="Aptos"/>
                <w:b w:val="0"/>
                <w:color w:val="24313C"/>
                <w:sz w:val="17"/>
              </w:rPr>
              <w:t>Initial use case</w:t>
            </w:r>
          </w:p>
        </w:tc>
        <w:tc>
          <w:tcPr>
            <w:tcW w:type="dxa" w:w="7272"/>
            <w:vAlign w:val="center"/>
            <w:tcMar>
              <w:top w:w="90" w:type="dxa"/>
              <w:start w:w="110" w:type="dxa"/>
              <w:bottom w:w="90" w:type="dxa"/>
              <w:end w:w="110" w:type="dxa"/>
            </w:tcMar>
            <w:shd w:fill="FFFFFF"/>
          </w:tcPr>
          <w:p>
            <w:pPr>
              <w:spacing w:after="0" w:line="240" w:lineRule="auto"/>
              <w:jc w:val="left"/>
            </w:pPr>
            <w:r/>
            <w:r>
              <w:rPr>
                <w:rFonts w:ascii="Aptos" w:hAnsi="Aptos"/>
                <w:b w:val="0"/>
                <w:color w:val="24313C"/>
                <w:sz w:val="17"/>
              </w:rPr>
              <w:t>Outside-counsel billing review and Outside Counsel Guidelines enforcement</w:t>
            </w:r>
          </w:p>
        </w:tc>
      </w:tr>
      <w:tr>
        <w:trPr>
          <w:cantSplit/>
        </w:trPr>
        <w:tc>
          <w:tcPr>
            <w:tcW w:type="dxa" w:w="2376"/>
            <w:vAlign w:val="center"/>
            <w:tcMar>
              <w:top w:w="90" w:type="dxa"/>
              <w:start w:w="110" w:type="dxa"/>
              <w:bottom w:w="90" w:type="dxa"/>
              <w:end w:w="110" w:type="dxa"/>
            </w:tcMar>
            <w:shd w:fill="F4F7F9"/>
          </w:tcPr>
          <w:p>
            <w:pPr>
              <w:spacing w:after="0" w:line="240" w:lineRule="auto"/>
              <w:jc w:val="left"/>
            </w:pPr>
            <w:r/>
            <w:r>
              <w:rPr>
                <w:rFonts w:ascii="Aptos" w:hAnsi="Aptos"/>
                <w:b w:val="0"/>
                <w:color w:val="24313C"/>
                <w:sz w:val="17"/>
              </w:rPr>
              <w:t>Deployment direction</w:t>
            </w:r>
          </w:p>
        </w:tc>
        <w:tc>
          <w:tcPr>
            <w:tcW w:type="dxa" w:w="7272"/>
            <w:vAlign w:val="center"/>
            <w:tcMar>
              <w:top w:w="90" w:type="dxa"/>
              <w:start w:w="110" w:type="dxa"/>
              <w:bottom w:w="90" w:type="dxa"/>
              <w:end w:w="110" w:type="dxa"/>
            </w:tcMar>
            <w:shd w:fill="F4F7F9"/>
          </w:tcPr>
          <w:p>
            <w:pPr>
              <w:spacing w:after="0" w:line="240" w:lineRule="auto"/>
              <w:jc w:val="left"/>
            </w:pPr>
            <w:r/>
            <w:r>
              <w:rPr>
                <w:rFonts w:ascii="Aptos" w:hAnsi="Aptos"/>
                <w:b w:val="0"/>
                <w:color w:val="24313C"/>
                <w:sz w:val="17"/>
              </w:rPr>
              <w:t>Customer-owned Microsoft Azure environment</w:t>
            </w:r>
          </w:p>
        </w:tc>
      </w:tr>
    </w:tbl>
    <w:p>
      <w:pPr>
        <w:spacing w:after="20"/>
      </w:pPr>
    </w:p>
    <w:p>
      <w:pPr>
        <w:widowControl/>
      </w:pPr>
      <w:r>
        <w:t>DRE is a focused legal-billing review system designed to identify billing-policy exceptions before they become downstream administrative work. It applies deterministic rules first, sends only appropriate unresolved exceptions through AI-assisted consensus review, and preserves authorized human judgment for decisions requiring it.</w:t>
      </w:r>
    </w:p>
    <w:p>
      <w:pPr>
        <w:widowControl/>
      </w:pPr>
      <w:r>
        <w:t>The customer experience is intentionally simple: provide a legal-billing file, allow DRE to review it, and receive separated results showing what cleared automated review and what requires human attention.</w:t>
      </w:r>
    </w:p>
    <w:p>
      <w:pPr>
        <w:widowControl/>
      </w:pPr>
      <w:r>
        <w:t>DRE is currently in active development with substantial product architecture, deterministic processing code, orchestration logic, consensus components, Azure infrastructure definitions, validation methodology, technical documentation, representative billing data, and demonstration components already established. A public working demonstration is the immediate milestone.</w:t>
      </w:r>
    </w:p>
    <w:p>
      <w:pPr>
        <w:widowControl/>
      </w:pPr>
      <w:r>
        <w:t>The immediate operating objective is to put DRE in front of real evaluators, collect usage and feedback, complete remaining product and documentation gaps, and progressively harden the Azure architecture for customer deployment.</w:t>
      </w:r>
    </w:p>
    <w:p>
      <w:pPr>
        <w:widowControl/>
      </w:pPr>
      <w:r>
        <w:t>The longer-term objective is a commercially deployable Azure-native legal-operations product that works inside the customer’s existing Microsoft ecosystem rather than requiring replacement of the customer’s legal technology stack.</w:t>
      </w:r>
    </w:p>
    <w:p>
      <w:r>
        <w:br w:type="page"/>
      </w:r>
    </w:p>
    <w:p>
      <w:pPr>
        <w:pStyle w:val="Heading1"/>
        <w:keepNext/>
      </w:pPr>
      <w:r>
        <w:t>2. Product Definition</w:t>
      </w:r>
    </w:p>
    <w:p>
      <w:pPr>
        <w:pStyle w:val="Heading2"/>
        <w:keepNext/>
      </w:pPr>
      <w:r>
        <w:t>Problem</w:t>
      </w:r>
    </w:p>
    <w:p>
      <w:pPr>
        <w:widowControl/>
      </w:pPr>
      <w:r>
        <w:t>Corporate legal departments receive large volumes of outside-counsel billing that must be evaluated against billing policies and Outside Counsel Guidelines. Some questions are objective and repeatable; others require interpretation and human judgment. Existing review processes can create unnecessary manual review, administrative motion, inconsistent treatment, and difficulty understanding why particular billing items passed, failed, or were adjusted.</w:t>
      </w:r>
    </w:p>
    <w:p>
      <w:pPr>
        <w:widowControl/>
      </w:pPr>
      <w:r>
        <w:t>DRE concentrates specifically on that review problem rather than attempting to become a complete legal-management platform.</w:t>
      </w:r>
    </w:p>
    <w:p>
      <w:pPr>
        <w:pStyle w:val="Heading2"/>
        <w:keepNext/>
      </w:pPr>
      <w:r>
        <w:t>Initial Legal Use Case</w:t>
      </w:r>
    </w:p>
    <w:p>
      <w:pPr>
        <w:widowControl/>
      </w:pPr>
      <w:r>
        <w:t>The first commercial application is outside-counsel legal billing and OCG compliance review.</w:t>
      </w:r>
    </w:p>
    <w:tbl>
      <w:tblPr>
        <w:tblW w:type="auto" w:w="0"/>
        <w:jc w:val="center"/>
        <w:tblLayout w:type="fixed"/>
        <w:tblLook w:firstColumn="1" w:firstRow="1" w:lastColumn="0" w:lastRow="0" w:noHBand="0" w:noVBand="1" w:val="04A0"/>
      </w:tblPr>
      <w:tblGrid>
        <w:gridCol w:w="173"/>
        <w:gridCol w:w="9720"/>
      </w:tblGrid>
      <w:tr>
        <w:tc>
          <w:tcPr>
            <w:tcW w:type="dxa" w:w="4939"/>
            <w:shd w:fill="C89B3C"/>
          </w:tcPr>
          <w:p>
            <w:r/>
          </w:p>
        </w:tc>
        <w:tc>
          <w:tcPr>
            <w:tcW w:type="dxa" w:w="4939"/>
            <w:shd w:fill="F7F2E8"/>
            <w:tcMar>
              <w:top w:w="150" w:type="dxa"/>
              <w:start w:w="180" w:type="dxa"/>
              <w:bottom w:w="150" w:type="dxa"/>
              <w:end w:w="180" w:type="dxa"/>
            </w:tcMar>
          </w:tcPr>
          <w:p>
            <w:pPr>
              <w:pStyle w:val="Callout"/>
              <w:spacing w:after="0"/>
            </w:pPr>
            <w:r>
              <w:rPr>
                <w:b/>
                <w:color w:val="C89B3C"/>
                <w:sz w:val="16"/>
              </w:rPr>
              <w:t>CURRENT PRODUCT SCOPE BOUNDARY</w:t>
              <w:br/>
            </w:r>
            <w:r>
              <w:t>Medical, HIPAA, academic, general document management, CRM, trust accounting, and timekeeping are outside the current product scope.</w:t>
            </w:r>
          </w:p>
        </w:tc>
      </w:tr>
    </w:tbl>
    <w:p>
      <w:pPr>
        <w:spacing w:after="0"/>
      </w:pPr>
    </w:p>
    <w:p>
      <w:pPr>
        <w:pStyle w:val="Heading2"/>
        <w:keepNext/>
      </w:pPr>
      <w:r>
        <w:t>Target Customer</w:t>
      </w:r>
    </w:p>
    <w:p>
      <w:pPr>
        <w:widowControl/>
      </w:pPr>
      <w:r>
        <w:t>Primary users and stakeholders include:</w:t>
      </w:r>
    </w:p>
    <w:p>
      <w:pPr>
        <w:pStyle w:val="ListBullet"/>
        <w:spacing w:after="60"/>
        <w:ind w:left="360" w:hanging="230"/>
      </w:pPr>
      <w:r>
        <w:t>Corporate legal departments and general counsel</w:t>
      </w:r>
    </w:p>
    <w:p>
      <w:pPr>
        <w:pStyle w:val="ListBullet"/>
        <w:spacing w:after="60"/>
        <w:ind w:left="360" w:hanging="230"/>
      </w:pPr>
      <w:r>
        <w:t>Legal operations teams</w:t>
      </w:r>
    </w:p>
    <w:p>
      <w:pPr>
        <w:pStyle w:val="ListBullet"/>
        <w:spacing w:after="60"/>
        <w:ind w:left="360" w:hanging="230"/>
      </w:pPr>
      <w:r>
        <w:t>Billing/compliance reviewers</w:t>
      </w:r>
    </w:p>
    <w:p>
      <w:pPr>
        <w:pStyle w:val="ListBullet"/>
        <w:spacing w:after="60"/>
        <w:ind w:left="360" w:hanging="230"/>
      </w:pPr>
      <w:r>
        <w:t>Organizations managing significant outside-counsel billing</w:t>
      </w:r>
    </w:p>
    <w:p>
      <w:pPr>
        <w:pStyle w:val="ListBullet"/>
        <w:spacing w:after="60"/>
        <w:ind w:left="360" w:hanging="230"/>
      </w:pPr>
      <w:r>
        <w:t>IT, security, and procurement stakeholders responsible for enterprise deployment</w:t>
      </w:r>
    </w:p>
    <w:p>
      <w:pPr>
        <w:pStyle w:val="Heading2"/>
        <w:keepNext/>
      </w:pPr>
      <w:r>
        <w:t>Processing Model</w:t>
      </w:r>
    </w:p>
    <w:p>
      <w:pPr>
        <w:widowControl/>
      </w:pPr>
      <w:r>
        <w:t>DRE follows a deterministic-first architecture.</w:t>
      </w:r>
    </w:p>
    <w:p>
      <w:pPr>
        <w:widowControl/>
      </w:pPr>
      <w:r>
        <w:t>Structured billing transactions first encounter deterministic validation and policy controls. Items that can be resolved deterministically should be resolved there rather than unnecessarily consuming AI processing or human attention.</w:t>
      </w:r>
    </w:p>
    <w:p>
      <w:pPr>
        <w:widowControl/>
      </w:pPr>
      <w:r>
        <w:t>Exceptions requiring semantic interpretation can move into the controlled consensus layer. Independent AI analysis is used to evaluate appropriate unresolved issues, with referee/synthesis logic determining whether sufficient agreement exists.</w:t>
      </w:r>
    </w:p>
    <w:p>
      <w:pPr>
        <w:widowControl/>
      </w:pPr>
      <w:r>
        <w:t>Where the system cannot appropriately resolve an issue, the transaction moves to human review.</w:t>
      </w:r>
    </w:p>
    <w:tbl>
      <w:tblPr>
        <w:tblW w:type="auto" w:w="0"/>
        <w:jc w:val="center"/>
        <w:tblLayout w:type="fixed"/>
        <w:tblLook w:firstColumn="1" w:firstRow="1" w:lastColumn="0" w:lastRow="0" w:noHBand="0" w:noVBand="1" w:val="04A0"/>
      </w:tblPr>
      <w:tblGrid>
        <w:gridCol w:w="3005"/>
        <w:gridCol w:w="317"/>
        <w:gridCol w:w="3005"/>
        <w:gridCol w:w="317"/>
        <w:gridCol w:w="3005"/>
      </w:tblGrid>
      <w:tr>
        <w:tc>
          <w:tcPr>
            <w:tcW w:type="dxa" w:w="1976"/>
            <w:vAlign w:val="center"/>
            <w:tcMar>
              <w:top w:w="90" w:type="dxa"/>
              <w:start w:w="110" w:type="dxa"/>
              <w:bottom w:w="90" w:type="dxa"/>
              <w:end w:w="110" w:type="dxa"/>
            </w:tcMar>
            <w:shd w:fill="2E7D7A"/>
          </w:tcPr>
          <w:p>
            <w:pPr>
              <w:spacing w:after="0" w:line="240" w:lineRule="auto"/>
              <w:jc w:val="center"/>
            </w:pPr>
            <w:r/>
            <w:r>
              <w:rPr>
                <w:rFonts w:ascii="Aptos" w:hAnsi="Aptos"/>
                <w:b/>
                <w:color w:val="FFFFFF"/>
                <w:sz w:val="15"/>
              </w:rPr>
              <w:t>Deterministic</w:t>
              <w:br/>
              <w:t>validation</w:t>
            </w:r>
          </w:p>
        </w:tc>
        <w:tc>
          <w:tcPr>
            <w:tcW w:type="dxa" w:w="1976"/>
            <w:vAlign w:val="center"/>
            <w:tcMar>
              <w:top w:w="90" w:type="dxa"/>
              <w:start w:w="110" w:type="dxa"/>
              <w:bottom w:w="90" w:type="dxa"/>
              <w:end w:w="110" w:type="dxa"/>
            </w:tcMar>
            <w:shd w:fill="FFFFFF"/>
          </w:tcPr>
          <w:p>
            <w:pPr>
              <w:spacing w:after="0" w:line="240" w:lineRule="auto"/>
              <w:jc w:val="center"/>
            </w:pPr>
            <w:r/>
            <w:r>
              <w:rPr>
                <w:rFonts w:ascii="Aptos" w:hAnsi="Aptos"/>
                <w:b/>
                <w:color w:val="2E7D7A"/>
                <w:sz w:val="26"/>
              </w:rPr>
              <w:t>→</w:t>
            </w:r>
          </w:p>
        </w:tc>
        <w:tc>
          <w:tcPr>
            <w:tcW w:type="dxa" w:w="1976"/>
            <w:vAlign w:val="center"/>
            <w:tcMar>
              <w:top w:w="90" w:type="dxa"/>
              <w:start w:w="110" w:type="dxa"/>
              <w:bottom w:w="90" w:type="dxa"/>
              <w:end w:w="110" w:type="dxa"/>
            </w:tcMar>
            <w:shd w:fill="1F5F8B"/>
          </w:tcPr>
          <w:p>
            <w:pPr>
              <w:spacing w:after="0" w:line="240" w:lineRule="auto"/>
              <w:jc w:val="center"/>
            </w:pPr>
            <w:r/>
            <w:r>
              <w:rPr>
                <w:rFonts w:ascii="Aptos" w:hAnsi="Aptos"/>
                <w:b/>
                <w:color w:val="FFFFFF"/>
                <w:sz w:val="15"/>
              </w:rPr>
              <w:t>Controlled AI</w:t>
              <w:br/>
              <w:t>consensus</w:t>
            </w:r>
          </w:p>
        </w:tc>
        <w:tc>
          <w:tcPr>
            <w:tcW w:type="dxa" w:w="1976"/>
            <w:vAlign w:val="center"/>
            <w:tcMar>
              <w:top w:w="90" w:type="dxa"/>
              <w:start w:w="110" w:type="dxa"/>
              <w:bottom w:w="90" w:type="dxa"/>
              <w:end w:w="110" w:type="dxa"/>
            </w:tcMar>
            <w:shd w:fill="FFFFFF"/>
          </w:tcPr>
          <w:p>
            <w:pPr>
              <w:spacing w:after="0" w:line="240" w:lineRule="auto"/>
              <w:jc w:val="center"/>
            </w:pPr>
            <w:r/>
            <w:r>
              <w:rPr>
                <w:rFonts w:ascii="Aptos" w:hAnsi="Aptos"/>
                <w:b/>
                <w:color w:val="2E7D7A"/>
                <w:sz w:val="26"/>
              </w:rPr>
              <w:t>→</w:t>
            </w:r>
          </w:p>
        </w:tc>
        <w:tc>
          <w:tcPr>
            <w:tcW w:type="dxa" w:w="1976"/>
            <w:vAlign w:val="center"/>
            <w:tcMar>
              <w:top w:w="90" w:type="dxa"/>
              <w:start w:w="110" w:type="dxa"/>
              <w:bottom w:w="90" w:type="dxa"/>
              <w:end w:w="110" w:type="dxa"/>
            </w:tcMar>
            <w:shd w:fill="C89B3C"/>
          </w:tcPr>
          <w:p>
            <w:pPr>
              <w:spacing w:after="0" w:line="240" w:lineRule="auto"/>
              <w:jc w:val="center"/>
            </w:pPr>
            <w:r/>
            <w:r>
              <w:rPr>
                <w:rFonts w:ascii="Aptos" w:hAnsi="Aptos"/>
                <w:b/>
                <w:color w:val="FFFFFF"/>
                <w:sz w:val="15"/>
              </w:rPr>
              <w:t>Human</w:t>
              <w:br/>
              <w:t>review</w:t>
            </w:r>
          </w:p>
        </w:tc>
      </w:tr>
    </w:tbl>
    <w:p>
      <w:pPr>
        <w:pStyle w:val="Caption"/>
        <w:keepNext w:val="0"/>
        <w:jc w:val="center"/>
      </w:pPr>
      <w:r>
        <w:t>Figure 1. Deterministic-first processing model</w:t>
      </w:r>
    </w:p>
    <w:p>
      <w:pPr>
        <w:pStyle w:val="Heading2"/>
        <w:keepNext/>
      </w:pPr>
      <w:r>
        <w:t>Human Authority</w:t>
      </w:r>
    </w:p>
    <w:p>
      <w:pPr>
        <w:widowControl/>
      </w:pPr>
      <w:r>
        <w:t>DRE is designed to automate review without eliminating authorized human authority.</w:t>
      </w:r>
    </w:p>
    <w:p>
      <w:pPr>
        <w:widowControl/>
      </w:pPr>
      <w:r>
        <w:t>Automated analysis identifies, explains, organizes, and routes billing issues. Decisions requiring judgment remain visible and reviewable rather than being hidden behind an automated financial decision.</w:t>
      </w:r>
    </w:p>
    <w:p>
      <w:pPr>
        <w:pStyle w:val="Heading2"/>
        <w:keepNext/>
      </w:pPr>
      <w:r>
        <w:t>Core Customer Experience</w:t>
      </w:r>
    </w:p>
    <w:p>
      <w:pPr>
        <w:widowControl/>
      </w:pPr>
      <w:r>
        <w:t>The intended experience is deliberately small:</w:t>
      </w:r>
    </w:p>
    <w:tbl>
      <w:tblPr>
        <w:tblW w:type="auto" w:w="0"/>
        <w:jc w:val="center"/>
        <w:tblLayout w:type="fixed"/>
        <w:tblLook w:firstColumn="1" w:firstRow="1" w:lastColumn="0" w:lastRow="0" w:noHBand="0" w:noVBand="1" w:val="04A0"/>
      </w:tblPr>
      <w:tblGrid>
        <w:gridCol w:w="173"/>
        <w:gridCol w:w="9720"/>
      </w:tblGrid>
      <w:tr>
        <w:tc>
          <w:tcPr>
            <w:tcW w:type="dxa" w:w="4939"/>
            <w:shd w:fill="2E7D7A"/>
          </w:tcPr>
          <w:p>
            <w:r/>
          </w:p>
        </w:tc>
        <w:tc>
          <w:tcPr>
            <w:tcW w:type="dxa" w:w="4939"/>
            <w:shd w:fill="EAF1F5"/>
            <w:tcMar>
              <w:top w:w="150" w:type="dxa"/>
              <w:start w:w="180" w:type="dxa"/>
              <w:bottom w:w="150" w:type="dxa"/>
              <w:end w:w="180" w:type="dxa"/>
            </w:tcMar>
          </w:tcPr>
          <w:p>
            <w:pPr>
              <w:pStyle w:val="Callout"/>
              <w:spacing w:after="0"/>
            </w:pPr>
            <w:r>
              <w:rPr>
                <w:b/>
                <w:color w:val="2E7D7A"/>
                <w:sz w:val="16"/>
              </w:rPr>
              <w:t>CORE CUSTOMER EXPERIENCE</w:t>
              <w:br/>
            </w:r>
            <w:r>
              <w:t>One legal-billing file in. Two files out.</w:t>
            </w:r>
          </w:p>
        </w:tc>
      </w:tr>
    </w:tbl>
    <w:p>
      <w:pPr>
        <w:spacing w:after="0"/>
      </w:pPr>
    </w:p>
    <w:p>
      <w:pPr>
        <w:widowControl/>
      </w:pPr>
      <w:r>
        <w:t>PASSED CONSENSUS contains items that cleared the applicable automated review path.</w:t>
      </w:r>
    </w:p>
    <w:p>
      <w:pPr>
        <w:widowControl/>
      </w:pPr>
      <w:r>
        <w:t>HUMAN REVIEW contains items requiring authorized human attention.</w:t>
      </w:r>
    </w:p>
    <w:tbl>
      <w:tblPr>
        <w:tblW w:type="auto" w:w="0"/>
        <w:jc w:val="center"/>
        <w:tblLayout w:type="fixed"/>
        <w:tblLook w:firstColumn="1" w:firstRow="1" w:lastColumn="0" w:lastRow="0" w:noHBand="0" w:noVBand="1" w:val="04A0"/>
      </w:tblPr>
      <w:tblGrid>
        <w:gridCol w:w="3005"/>
        <w:gridCol w:w="317"/>
        <w:gridCol w:w="3005"/>
        <w:gridCol w:w="317"/>
        <w:gridCol w:w="3005"/>
      </w:tblGrid>
      <w:tr>
        <w:tc>
          <w:tcPr>
            <w:tcW w:type="dxa" w:w="1976"/>
            <w:vAlign w:val="center"/>
            <w:tcMar>
              <w:top w:w="90" w:type="dxa"/>
              <w:start w:w="110" w:type="dxa"/>
              <w:bottom w:w="90" w:type="dxa"/>
              <w:end w:w="110" w:type="dxa"/>
            </w:tcMar>
            <w:shd w:fill="16324F"/>
          </w:tcPr>
          <w:p>
            <w:pPr>
              <w:spacing w:after="0" w:line="240" w:lineRule="auto"/>
              <w:jc w:val="center"/>
            </w:pPr>
            <w:r/>
            <w:r>
              <w:rPr>
                <w:rFonts w:ascii="Aptos" w:hAnsi="Aptos"/>
                <w:b/>
                <w:color w:val="FFFFFF"/>
                <w:sz w:val="15"/>
              </w:rPr>
              <w:t>One legal-billing</w:t>
              <w:br/>
              <w:t>file in</w:t>
            </w:r>
          </w:p>
        </w:tc>
        <w:tc>
          <w:tcPr>
            <w:tcW w:type="dxa" w:w="1976"/>
            <w:vAlign w:val="center"/>
            <w:tcMar>
              <w:top w:w="90" w:type="dxa"/>
              <w:start w:w="110" w:type="dxa"/>
              <w:bottom w:w="90" w:type="dxa"/>
              <w:end w:w="110" w:type="dxa"/>
            </w:tcMar>
            <w:shd w:fill="FFFFFF"/>
          </w:tcPr>
          <w:p>
            <w:pPr>
              <w:spacing w:after="0" w:line="240" w:lineRule="auto"/>
              <w:jc w:val="center"/>
            </w:pPr>
            <w:r/>
            <w:r>
              <w:rPr>
                <w:rFonts w:ascii="Aptos" w:hAnsi="Aptos"/>
                <w:b/>
                <w:color w:val="2E7D7A"/>
                <w:sz w:val="26"/>
              </w:rPr>
              <w:t>→</w:t>
            </w:r>
          </w:p>
        </w:tc>
        <w:tc>
          <w:tcPr>
            <w:tcW w:type="dxa" w:w="1976"/>
            <w:vAlign w:val="center"/>
            <w:tcMar>
              <w:top w:w="90" w:type="dxa"/>
              <w:start w:w="110" w:type="dxa"/>
              <w:bottom w:w="90" w:type="dxa"/>
              <w:end w:w="110" w:type="dxa"/>
            </w:tcMar>
            <w:shd w:fill="2E7D7A"/>
          </w:tcPr>
          <w:p>
            <w:pPr>
              <w:spacing w:after="0" w:line="240" w:lineRule="auto"/>
              <w:jc w:val="center"/>
            </w:pPr>
            <w:r/>
            <w:r>
              <w:rPr>
                <w:rFonts w:ascii="Aptos" w:hAnsi="Aptos"/>
                <w:b/>
                <w:color w:val="FFFFFF"/>
                <w:sz w:val="15"/>
              </w:rPr>
              <w:t>DRE review</w:t>
            </w:r>
          </w:p>
        </w:tc>
        <w:tc>
          <w:tcPr>
            <w:tcW w:type="dxa" w:w="1976"/>
            <w:vAlign w:val="center"/>
            <w:tcMar>
              <w:top w:w="90" w:type="dxa"/>
              <w:start w:w="110" w:type="dxa"/>
              <w:bottom w:w="90" w:type="dxa"/>
              <w:end w:w="110" w:type="dxa"/>
            </w:tcMar>
            <w:shd w:fill="FFFFFF"/>
          </w:tcPr>
          <w:p>
            <w:pPr>
              <w:spacing w:after="0" w:line="240" w:lineRule="auto"/>
              <w:jc w:val="center"/>
            </w:pPr>
            <w:r/>
            <w:r>
              <w:rPr>
                <w:rFonts w:ascii="Aptos" w:hAnsi="Aptos"/>
                <w:b/>
                <w:color w:val="2E7D7A"/>
                <w:sz w:val="26"/>
              </w:rPr>
              <w:t>→</w:t>
            </w:r>
          </w:p>
        </w:tc>
        <w:tc>
          <w:tcPr>
            <w:tcW w:type="dxa" w:w="1976"/>
            <w:vAlign w:val="center"/>
            <w:tcMar>
              <w:top w:w="90" w:type="dxa"/>
              <w:start w:w="110" w:type="dxa"/>
              <w:bottom w:w="90" w:type="dxa"/>
              <w:end w:w="110" w:type="dxa"/>
            </w:tcMar>
            <w:shd w:fill="1F5F8B"/>
          </w:tcPr>
          <w:p>
            <w:pPr>
              <w:spacing w:after="0" w:line="240" w:lineRule="auto"/>
              <w:jc w:val="center"/>
            </w:pPr>
            <w:r/>
            <w:r>
              <w:rPr>
                <w:rFonts w:ascii="Aptos" w:hAnsi="Aptos"/>
                <w:b/>
                <w:color w:val="FFFFFF"/>
                <w:sz w:val="15"/>
              </w:rPr>
              <w:t>PASSED CONSENSUS</w:t>
              <w:br/>
              <w:t>+</w:t>
              <w:br/>
              <w:t>HUMAN REVIEW</w:t>
            </w:r>
          </w:p>
        </w:tc>
      </w:tr>
    </w:tbl>
    <w:p>
      <w:pPr>
        <w:pStyle w:val="Caption"/>
        <w:keepNext w:val="0"/>
        <w:jc w:val="center"/>
      </w:pPr>
      <w:r>
        <w:t>Figure 2. Core customer experience</w:t>
      </w:r>
    </w:p>
    <w:p>
      <w:pPr>
        <w:widowControl/>
      </w:pPr>
      <w:r>
        <w:t>The interface should expose enough information to understand what happened without making the customer operate the underlying technical architecture.</w:t>
      </w:r>
    </w:p>
    <w:p>
      <w:pPr>
        <w:pStyle w:val="Heading2"/>
        <w:keepNext/>
      </w:pPr>
      <w:r>
        <w:t>Product Philosophy</w:t>
      </w:r>
    </w:p>
    <w:tbl>
      <w:tblPr>
        <w:tblW w:type="auto" w:w="0"/>
        <w:jc w:val="center"/>
        <w:tblLayout w:type="fixed"/>
        <w:tblLook w:firstColumn="1" w:firstRow="1" w:lastColumn="0" w:lastRow="0" w:noHBand="0" w:noVBand="1" w:val="04A0"/>
      </w:tblPr>
      <w:tblGrid>
        <w:gridCol w:w="173"/>
        <w:gridCol w:w="9720"/>
      </w:tblGrid>
      <w:tr>
        <w:tc>
          <w:tcPr>
            <w:tcW w:type="dxa" w:w="4939"/>
            <w:shd w:fill="2E7D7A"/>
          </w:tcPr>
          <w:p>
            <w:r/>
          </w:p>
        </w:tc>
        <w:tc>
          <w:tcPr>
            <w:tcW w:type="dxa" w:w="4939"/>
            <w:shd w:fill="EAF1F5"/>
            <w:tcMar>
              <w:top w:w="150" w:type="dxa"/>
              <w:start w:w="180" w:type="dxa"/>
              <w:bottom w:w="150" w:type="dxa"/>
              <w:end w:w="180" w:type="dxa"/>
            </w:tcMar>
          </w:tcPr>
          <w:p>
            <w:pPr>
              <w:pStyle w:val="Callout"/>
              <w:spacing w:after="0"/>
            </w:pPr>
            <w:r>
              <w:rPr>
                <w:b/>
                <w:color w:val="2E7D7A"/>
                <w:sz w:val="16"/>
              </w:rPr>
              <w:t>PRODUCT PHILOSOPHY</w:t>
              <w:br/>
            </w:r>
            <w:r>
              <w:t>Computationally sophisticated. Operationally simple.</w:t>
            </w:r>
          </w:p>
        </w:tc>
      </w:tr>
    </w:tbl>
    <w:p>
      <w:pPr>
        <w:spacing w:after="0"/>
      </w:pPr>
    </w:p>
    <w:tbl>
      <w:tblPr>
        <w:tblW w:type="auto" w:w="0"/>
        <w:jc w:val="center"/>
        <w:tblLayout w:type="fixed"/>
        <w:tblLook w:firstColumn="1" w:firstRow="1" w:lastColumn="0" w:lastRow="0" w:noHBand="0" w:noVBand="1" w:val="04A0"/>
      </w:tblPr>
      <w:tblGrid>
        <w:gridCol w:w="173"/>
        <w:gridCol w:w="9720"/>
      </w:tblGrid>
      <w:tr>
        <w:tc>
          <w:tcPr>
            <w:tcW w:type="dxa" w:w="4939"/>
            <w:shd w:fill="C89B3C"/>
          </w:tcPr>
          <w:p>
            <w:r/>
          </w:p>
        </w:tc>
        <w:tc>
          <w:tcPr>
            <w:tcW w:type="dxa" w:w="4939"/>
            <w:shd w:fill="F7F2E8"/>
            <w:tcMar>
              <w:top w:w="150" w:type="dxa"/>
              <w:start w:w="180" w:type="dxa"/>
              <w:bottom w:w="150" w:type="dxa"/>
              <w:end w:w="180" w:type="dxa"/>
            </w:tcMar>
          </w:tcPr>
          <w:p>
            <w:pPr>
              <w:pStyle w:val="Callout"/>
              <w:spacing w:after="0"/>
            </w:pPr>
            <w:r>
              <w:rPr>
                <w:b/>
                <w:color w:val="C89B3C"/>
                <w:sz w:val="16"/>
              </w:rPr>
              <w:t>INTERNAL PRINCIPLE</w:t>
              <w:br/>
            </w:r>
            <w:r>
              <w:t>Internally: Fuck the bloat.</w:t>
            </w:r>
          </w:p>
        </w:tc>
      </w:tr>
    </w:tbl>
    <w:p>
      <w:pPr>
        <w:spacing w:after="0"/>
      </w:pPr>
    </w:p>
    <w:p>
      <w:pPr>
        <w:widowControl/>
      </w:pPr>
      <w:r>
        <w:t>DRE should solve the billing-review problem while coexisting with systems customers already use. The customer should not have to adopt an unnecessary CRM, document-management system, accounting platform, practice-management suite, or replacement legal stack simply to improve billing review.</w:t>
      </w:r>
    </w:p>
    <w:p>
      <w:pPr>
        <w:widowControl/>
      </w:pPr>
      <w:r>
        <w:t>The product direction is therefore:</w:t>
      </w:r>
    </w:p>
    <w:tbl>
      <w:tblPr>
        <w:tblW w:type="auto" w:w="0"/>
        <w:jc w:val="center"/>
        <w:tblLayout w:type="fixed"/>
        <w:tblLook w:firstColumn="1" w:firstRow="1" w:lastColumn="0" w:lastRow="0" w:noHBand="0" w:noVBand="1" w:val="04A0"/>
      </w:tblPr>
      <w:tblGrid>
        <w:gridCol w:w="173"/>
        <w:gridCol w:w="9720"/>
      </w:tblGrid>
      <w:tr>
        <w:tc>
          <w:tcPr>
            <w:tcW w:type="dxa" w:w="4939"/>
            <w:shd w:fill="1F5F8B"/>
          </w:tcPr>
          <w:p>
            <w:r/>
          </w:p>
        </w:tc>
        <w:tc>
          <w:tcPr>
            <w:tcW w:type="dxa" w:w="4939"/>
            <w:shd w:fill="EAF1F5"/>
            <w:tcMar>
              <w:top w:w="150" w:type="dxa"/>
              <w:start w:w="180" w:type="dxa"/>
              <w:bottom w:w="150" w:type="dxa"/>
              <w:end w:w="180" w:type="dxa"/>
            </w:tcMar>
          </w:tcPr>
          <w:p>
            <w:pPr>
              <w:pStyle w:val="Callout"/>
              <w:spacing w:after="0"/>
            </w:pPr>
            <w:r>
              <w:rPr>
                <w:b/>
                <w:color w:val="1F5F8B"/>
                <w:sz w:val="16"/>
              </w:rPr>
              <w:t>PRODUCT DIRECTION</w:t>
              <w:br/>
            </w:r>
            <w:r>
              <w:t>Start with a bill. Review what needs judgment, not what already passes. Every decision has a reason. Keep the software you already have.</w:t>
            </w:r>
          </w:p>
        </w:tc>
      </w:tr>
    </w:tbl>
    <w:p>
      <w:pPr>
        <w:spacing w:after="0"/>
      </w:pPr>
    </w:p>
    <w:p>
      <w:r>
        <w:br w:type="page"/>
      </w:r>
    </w:p>
    <w:p>
      <w:pPr>
        <w:pStyle w:val="Heading1"/>
        <w:keepNext/>
      </w:pPr>
      <w:r>
        <w:t>3. Legal-Billing Workflow</w:t>
      </w:r>
    </w:p>
    <w:p>
      <w:pPr>
        <w:pStyle w:val="Heading2"/>
        <w:keepNext/>
      </w:pPr>
      <w:r>
        <w:t>3.1 Transaction Intake</w:t>
      </w:r>
    </w:p>
    <w:p>
      <w:pPr>
        <w:widowControl/>
      </w:pPr>
      <w:r>
        <w:t>DRE receives individual structured legal-billing transactions. The current transaction contract contains:</w:t>
      </w:r>
    </w:p>
    <w:p>
      <w:pPr>
        <w:pStyle w:val="ListBullet"/>
        <w:spacing w:after="60"/>
        <w:ind w:left="360" w:hanging="230"/>
      </w:pPr>
      <w:r>
        <w:t>Line-item ID</w:t>
      </w:r>
    </w:p>
    <w:p>
      <w:pPr>
        <w:pStyle w:val="ListBullet"/>
        <w:spacing w:after="60"/>
        <w:ind w:left="360" w:hanging="230"/>
      </w:pPr>
      <w:r>
        <w:t>Timekeeper role</w:t>
      </w:r>
    </w:p>
    <w:p>
      <w:pPr>
        <w:pStyle w:val="ListBullet"/>
        <w:spacing w:after="60"/>
        <w:ind w:left="360" w:hanging="230"/>
      </w:pPr>
      <w:r>
        <w:t>Hourly rate</w:t>
      </w:r>
    </w:p>
    <w:p>
      <w:pPr>
        <w:pStyle w:val="ListBullet"/>
        <w:spacing w:after="60"/>
        <w:ind w:left="360" w:hanging="230"/>
      </w:pPr>
      <w:r>
        <w:t>Hours logged</w:t>
      </w:r>
    </w:p>
    <w:p>
      <w:pPr>
        <w:pStyle w:val="ListBullet"/>
        <w:spacing w:after="60"/>
        <w:ind w:left="360" w:hanging="230"/>
      </w:pPr>
      <w:r>
        <w:t>Raw narrative text</w:t>
      </w:r>
    </w:p>
    <w:tbl>
      <w:tblPr>
        <w:tblStyle w:val="TableGrid"/>
        <w:tblW w:type="auto" w:w="0"/>
        <w:jc w:val="center"/>
        <w:tblLayout w:type="fixed"/>
        <w:tblLook w:firstColumn="1" w:firstRow="1" w:lastColumn="0" w:lastRow="0" w:noHBand="0" w:noVBand="1" w:val="04A0"/>
      </w:tblPr>
      <w:tblGrid>
        <w:gridCol w:w="2232"/>
        <w:gridCol w:w="7416"/>
      </w:tblGrid>
      <w:tr>
        <w:trPr>
          <w:tblHeader w:val="true"/>
        </w:trPr>
        <w:tc>
          <w:tcPr>
            <w:tcW w:type="dxa" w:w="4939"/>
            <w:vAlign w:val="center"/>
            <w:tcMar>
              <w:top w:w="90" w:type="dxa"/>
              <w:start w:w="110" w:type="dxa"/>
              <w:bottom w:w="90" w:type="dxa"/>
              <w:end w:w="110" w:type="dxa"/>
            </w:tcMar>
            <w:shd w:fill="16324F"/>
          </w:tcPr>
          <w:p>
            <w:pPr>
              <w:spacing w:after="0" w:line="240" w:lineRule="auto"/>
              <w:jc w:val="left"/>
            </w:pPr>
            <w:r/>
            <w:r>
              <w:rPr>
                <w:rFonts w:ascii="Aptos" w:hAnsi="Aptos"/>
                <w:b/>
                <w:color w:val="FFFFFF"/>
                <w:sz w:val="16"/>
              </w:rPr>
              <w:t>Current transaction contract</w:t>
            </w:r>
          </w:p>
        </w:tc>
        <w:tc>
          <w:tcPr>
            <w:tcW w:type="dxa" w:w="4939"/>
            <w:vAlign w:val="center"/>
            <w:tcMar>
              <w:top w:w="90" w:type="dxa"/>
              <w:start w:w="110" w:type="dxa"/>
              <w:bottom w:w="90" w:type="dxa"/>
              <w:end w:w="110" w:type="dxa"/>
            </w:tcMar>
            <w:shd w:fill="16324F"/>
          </w:tcPr>
          <w:p>
            <w:pPr>
              <w:spacing w:after="0" w:line="240" w:lineRule="auto"/>
              <w:jc w:val="left"/>
            </w:pPr>
            <w:r/>
            <w:r>
              <w:rPr>
                <w:rFonts w:ascii="Aptos" w:hAnsi="Aptos"/>
                <w:b/>
                <w:color w:val="FFFFFF"/>
                <w:sz w:val="16"/>
              </w:rPr>
              <w:t>Field</w:t>
            </w:r>
          </w:p>
        </w:tc>
      </w:tr>
      <w:tr>
        <w:trPr>
          <w:cantSplit/>
        </w:trPr>
        <w:tc>
          <w:tcPr>
            <w:tcW w:type="dxa" w:w="2232"/>
            <w:vAlign w:val="center"/>
            <w:tcMar>
              <w:top w:w="90" w:type="dxa"/>
              <w:start w:w="110" w:type="dxa"/>
              <w:bottom w:w="90" w:type="dxa"/>
              <w:end w:w="110" w:type="dxa"/>
            </w:tcMar>
            <w:shd w:fill="FFFFFF"/>
          </w:tcPr>
          <w:p>
            <w:pPr>
              <w:spacing w:after="0" w:line="240" w:lineRule="auto"/>
              <w:jc w:val="left"/>
            </w:pPr>
            <w:r/>
            <w:r>
              <w:rPr>
                <w:rFonts w:ascii="Aptos" w:hAnsi="Aptos"/>
                <w:b w:val="0"/>
                <w:color w:val="24313C"/>
                <w:sz w:val="17"/>
              </w:rPr>
              <w:t>1</w:t>
            </w:r>
          </w:p>
        </w:tc>
        <w:tc>
          <w:tcPr>
            <w:tcW w:type="dxa" w:w="7416"/>
            <w:vAlign w:val="center"/>
            <w:tcMar>
              <w:top w:w="90" w:type="dxa"/>
              <w:start w:w="110" w:type="dxa"/>
              <w:bottom w:w="90" w:type="dxa"/>
              <w:end w:w="110" w:type="dxa"/>
            </w:tcMar>
            <w:shd w:fill="FFFFFF"/>
          </w:tcPr>
          <w:p>
            <w:pPr>
              <w:spacing w:after="0" w:line="240" w:lineRule="auto"/>
              <w:jc w:val="left"/>
            </w:pPr>
            <w:r/>
            <w:r>
              <w:rPr>
                <w:rFonts w:ascii="Aptos" w:hAnsi="Aptos"/>
                <w:b w:val="0"/>
                <w:color w:val="24313C"/>
                <w:sz w:val="17"/>
              </w:rPr>
              <w:t>Line-item ID</w:t>
            </w:r>
          </w:p>
        </w:tc>
      </w:tr>
      <w:tr>
        <w:trPr>
          <w:cantSplit/>
        </w:trPr>
        <w:tc>
          <w:tcPr>
            <w:tcW w:type="dxa" w:w="2232"/>
            <w:vAlign w:val="center"/>
            <w:tcMar>
              <w:top w:w="90" w:type="dxa"/>
              <w:start w:w="110" w:type="dxa"/>
              <w:bottom w:w="90" w:type="dxa"/>
              <w:end w:w="110" w:type="dxa"/>
            </w:tcMar>
            <w:shd w:fill="F4F7F9"/>
          </w:tcPr>
          <w:p>
            <w:pPr>
              <w:spacing w:after="0" w:line="240" w:lineRule="auto"/>
              <w:jc w:val="left"/>
            </w:pPr>
            <w:r/>
            <w:r>
              <w:rPr>
                <w:rFonts w:ascii="Aptos" w:hAnsi="Aptos"/>
                <w:b w:val="0"/>
                <w:color w:val="24313C"/>
                <w:sz w:val="17"/>
              </w:rPr>
              <w:t>2</w:t>
            </w:r>
          </w:p>
        </w:tc>
        <w:tc>
          <w:tcPr>
            <w:tcW w:type="dxa" w:w="7416"/>
            <w:vAlign w:val="center"/>
            <w:tcMar>
              <w:top w:w="90" w:type="dxa"/>
              <w:start w:w="110" w:type="dxa"/>
              <w:bottom w:w="90" w:type="dxa"/>
              <w:end w:w="110" w:type="dxa"/>
            </w:tcMar>
            <w:shd w:fill="F4F7F9"/>
          </w:tcPr>
          <w:p>
            <w:pPr>
              <w:spacing w:after="0" w:line="240" w:lineRule="auto"/>
              <w:jc w:val="left"/>
            </w:pPr>
            <w:r/>
            <w:r>
              <w:rPr>
                <w:rFonts w:ascii="Aptos" w:hAnsi="Aptos"/>
                <w:b w:val="0"/>
                <w:color w:val="24313C"/>
                <w:sz w:val="17"/>
              </w:rPr>
              <w:t>Timekeeper role</w:t>
            </w:r>
          </w:p>
        </w:tc>
      </w:tr>
      <w:tr>
        <w:trPr>
          <w:cantSplit/>
        </w:trPr>
        <w:tc>
          <w:tcPr>
            <w:tcW w:type="dxa" w:w="2232"/>
            <w:vAlign w:val="center"/>
            <w:tcMar>
              <w:top w:w="90" w:type="dxa"/>
              <w:start w:w="110" w:type="dxa"/>
              <w:bottom w:w="90" w:type="dxa"/>
              <w:end w:w="110" w:type="dxa"/>
            </w:tcMar>
            <w:shd w:fill="FFFFFF"/>
          </w:tcPr>
          <w:p>
            <w:pPr>
              <w:spacing w:after="0" w:line="240" w:lineRule="auto"/>
              <w:jc w:val="left"/>
            </w:pPr>
            <w:r/>
            <w:r>
              <w:rPr>
                <w:rFonts w:ascii="Aptos" w:hAnsi="Aptos"/>
                <w:b w:val="0"/>
                <w:color w:val="24313C"/>
                <w:sz w:val="17"/>
              </w:rPr>
              <w:t>3</w:t>
            </w:r>
          </w:p>
        </w:tc>
        <w:tc>
          <w:tcPr>
            <w:tcW w:type="dxa" w:w="7416"/>
            <w:vAlign w:val="center"/>
            <w:tcMar>
              <w:top w:w="90" w:type="dxa"/>
              <w:start w:w="110" w:type="dxa"/>
              <w:bottom w:w="90" w:type="dxa"/>
              <w:end w:w="110" w:type="dxa"/>
            </w:tcMar>
            <w:shd w:fill="FFFFFF"/>
          </w:tcPr>
          <w:p>
            <w:pPr>
              <w:spacing w:after="0" w:line="240" w:lineRule="auto"/>
              <w:jc w:val="left"/>
            </w:pPr>
            <w:r/>
            <w:r>
              <w:rPr>
                <w:rFonts w:ascii="Aptos" w:hAnsi="Aptos"/>
                <w:b w:val="0"/>
                <w:color w:val="24313C"/>
                <w:sz w:val="17"/>
              </w:rPr>
              <w:t>Hourly rate</w:t>
            </w:r>
          </w:p>
        </w:tc>
      </w:tr>
      <w:tr>
        <w:trPr>
          <w:cantSplit/>
        </w:trPr>
        <w:tc>
          <w:tcPr>
            <w:tcW w:type="dxa" w:w="2232"/>
            <w:vAlign w:val="center"/>
            <w:tcMar>
              <w:top w:w="90" w:type="dxa"/>
              <w:start w:w="110" w:type="dxa"/>
              <w:bottom w:w="90" w:type="dxa"/>
              <w:end w:w="110" w:type="dxa"/>
            </w:tcMar>
            <w:shd w:fill="F4F7F9"/>
          </w:tcPr>
          <w:p>
            <w:pPr>
              <w:spacing w:after="0" w:line="240" w:lineRule="auto"/>
              <w:jc w:val="left"/>
            </w:pPr>
            <w:r/>
            <w:r>
              <w:rPr>
                <w:rFonts w:ascii="Aptos" w:hAnsi="Aptos"/>
                <w:b w:val="0"/>
                <w:color w:val="24313C"/>
                <w:sz w:val="17"/>
              </w:rPr>
              <w:t>4</w:t>
            </w:r>
          </w:p>
        </w:tc>
        <w:tc>
          <w:tcPr>
            <w:tcW w:type="dxa" w:w="7416"/>
            <w:vAlign w:val="center"/>
            <w:tcMar>
              <w:top w:w="90" w:type="dxa"/>
              <w:start w:w="110" w:type="dxa"/>
              <w:bottom w:w="90" w:type="dxa"/>
              <w:end w:w="110" w:type="dxa"/>
            </w:tcMar>
            <w:shd w:fill="F4F7F9"/>
          </w:tcPr>
          <w:p>
            <w:pPr>
              <w:spacing w:after="0" w:line="240" w:lineRule="auto"/>
              <w:jc w:val="left"/>
            </w:pPr>
            <w:r/>
            <w:r>
              <w:rPr>
                <w:rFonts w:ascii="Aptos" w:hAnsi="Aptos"/>
                <w:b w:val="0"/>
                <w:color w:val="24313C"/>
                <w:sz w:val="17"/>
              </w:rPr>
              <w:t>Hours logged</w:t>
            </w:r>
          </w:p>
        </w:tc>
      </w:tr>
      <w:tr>
        <w:trPr>
          <w:cantSplit/>
        </w:trPr>
        <w:tc>
          <w:tcPr>
            <w:tcW w:type="dxa" w:w="2232"/>
            <w:vAlign w:val="center"/>
            <w:tcMar>
              <w:top w:w="90" w:type="dxa"/>
              <w:start w:w="110" w:type="dxa"/>
              <w:bottom w:w="90" w:type="dxa"/>
              <w:end w:w="110" w:type="dxa"/>
            </w:tcMar>
            <w:shd w:fill="FFFFFF"/>
          </w:tcPr>
          <w:p>
            <w:pPr>
              <w:spacing w:after="0" w:line="240" w:lineRule="auto"/>
              <w:jc w:val="left"/>
            </w:pPr>
            <w:r/>
            <w:r>
              <w:rPr>
                <w:rFonts w:ascii="Aptos" w:hAnsi="Aptos"/>
                <w:b w:val="0"/>
                <w:color w:val="24313C"/>
                <w:sz w:val="17"/>
              </w:rPr>
              <w:t>5</w:t>
            </w:r>
          </w:p>
        </w:tc>
        <w:tc>
          <w:tcPr>
            <w:tcW w:type="dxa" w:w="7416"/>
            <w:vAlign w:val="center"/>
            <w:tcMar>
              <w:top w:w="90" w:type="dxa"/>
              <w:start w:w="110" w:type="dxa"/>
              <w:bottom w:w="90" w:type="dxa"/>
              <w:end w:w="110" w:type="dxa"/>
            </w:tcMar>
            <w:shd w:fill="FFFFFF"/>
          </w:tcPr>
          <w:p>
            <w:pPr>
              <w:spacing w:after="0" w:line="240" w:lineRule="auto"/>
              <w:jc w:val="left"/>
            </w:pPr>
            <w:r/>
            <w:r>
              <w:rPr>
                <w:rFonts w:ascii="Aptos" w:hAnsi="Aptos"/>
                <w:b w:val="0"/>
                <w:color w:val="24313C"/>
                <w:sz w:val="17"/>
              </w:rPr>
              <w:t>Raw narrative text</w:t>
            </w:r>
          </w:p>
        </w:tc>
      </w:tr>
    </w:tbl>
    <w:p>
      <w:pPr>
        <w:spacing w:after="20"/>
      </w:pPr>
    </w:p>
    <w:p>
      <w:pPr>
        <w:widowControl/>
      </w:pPr>
      <w:r>
        <w:t>The current mock legal dataset contains Partner, Senior Associate, and Junior Associate transactions with representative billing narratives.</w:t>
      </w:r>
    </w:p>
    <w:p>
      <w:pPr>
        <w:pStyle w:val="Heading2"/>
        <w:keepNext/>
      </w:pPr>
      <w:r>
        <w:t>3.2 Tier 1 — Deterministic Compliance Evaluation</w:t>
      </w:r>
    </w:p>
    <w:p>
      <w:pPr>
        <w:widowControl/>
      </w:pPr>
      <w:r>
        <w:t>Every transaction enters the deterministic compliance engine first.</w:t>
      </w:r>
    </w:p>
    <w:p>
      <w:pPr>
        <w:widowControl/>
      </w:pPr>
      <w:r>
        <w:t>The deterministic engine evaluates the billing narrative against explicit rules. Its current rules distinguish between prohibited administrative activity and narrative conditions requiring semantic review.</w:t>
      </w:r>
    </w:p>
    <w:p>
      <w:pPr>
        <w:widowControl/>
      </w:pPr>
      <w:r>
        <w:t>The current implementation specifically detects prohibited terms associated with printing, photocopying, and scanning. Those trigger deterministic STRIP_AND_RECALCULATE behavior.</w:t>
      </w:r>
    </w:p>
    <w:p>
      <w:pPr>
        <w:widowControl/>
      </w:pPr>
      <w:r>
        <w:t>It separately detects vague terms including research, review, and file prep. Those trigger FLAG_FOR_AI_CONSENSUS_REWRITE.</w:t>
      </w:r>
    </w:p>
    <w:tbl>
      <w:tblPr>
        <w:tblStyle w:val="TableGrid"/>
        <w:tblW w:type="auto" w:w="0"/>
        <w:jc w:val="center"/>
        <w:tblLayout w:type="fixed"/>
        <w:tblLook w:firstColumn="1" w:firstRow="1" w:lastColumn="0" w:lastRow="0" w:noHBand="0" w:noVBand="1" w:val="04A0"/>
      </w:tblPr>
      <w:tblGrid>
        <w:gridCol w:w="4968"/>
        <w:gridCol w:w="4680"/>
      </w:tblGrid>
      <w:tr>
        <w:trPr>
          <w:tblHeader w:val="true"/>
        </w:trPr>
        <w:tc>
          <w:tcPr>
            <w:tcW w:type="dxa" w:w="4939"/>
            <w:vAlign w:val="center"/>
            <w:tcMar>
              <w:top w:w="90" w:type="dxa"/>
              <w:start w:w="110" w:type="dxa"/>
              <w:bottom w:w="90" w:type="dxa"/>
              <w:end w:w="110" w:type="dxa"/>
            </w:tcMar>
            <w:shd w:fill="16324F"/>
          </w:tcPr>
          <w:p>
            <w:pPr>
              <w:spacing w:after="0" w:line="240" w:lineRule="auto"/>
              <w:jc w:val="left"/>
            </w:pPr>
            <w:r/>
            <w:r>
              <w:rPr>
                <w:rFonts w:ascii="Aptos" w:hAnsi="Aptos"/>
                <w:b/>
                <w:color w:val="FFFFFF"/>
                <w:sz w:val="16"/>
              </w:rPr>
              <w:t>Rule condition</w:t>
            </w:r>
          </w:p>
        </w:tc>
        <w:tc>
          <w:tcPr>
            <w:tcW w:type="dxa" w:w="4939"/>
            <w:vAlign w:val="center"/>
            <w:tcMar>
              <w:top w:w="90" w:type="dxa"/>
              <w:start w:w="110" w:type="dxa"/>
              <w:bottom w:w="90" w:type="dxa"/>
              <w:end w:w="110" w:type="dxa"/>
            </w:tcMar>
            <w:shd w:fill="16324F"/>
          </w:tcPr>
          <w:p>
            <w:pPr>
              <w:spacing w:after="0" w:line="240" w:lineRule="auto"/>
              <w:jc w:val="left"/>
            </w:pPr>
            <w:r/>
            <w:r>
              <w:rPr>
                <w:rFonts w:ascii="Aptos" w:hAnsi="Aptos"/>
                <w:b/>
                <w:color w:val="FFFFFF"/>
                <w:sz w:val="16"/>
              </w:rPr>
              <w:t>Current coded behavior</w:t>
            </w:r>
          </w:p>
        </w:tc>
      </w:tr>
      <w:tr>
        <w:trPr>
          <w:cantSplit/>
        </w:trPr>
        <w:tc>
          <w:tcPr>
            <w:tcW w:type="dxa" w:w="4968"/>
            <w:vAlign w:val="center"/>
            <w:tcMar>
              <w:top w:w="90" w:type="dxa"/>
              <w:start w:w="110" w:type="dxa"/>
              <w:bottom w:w="90" w:type="dxa"/>
              <w:end w:w="110" w:type="dxa"/>
            </w:tcMar>
            <w:shd w:fill="FFFFFF"/>
          </w:tcPr>
          <w:p>
            <w:pPr>
              <w:spacing w:after="0" w:line="240" w:lineRule="auto"/>
              <w:jc w:val="left"/>
            </w:pPr>
            <w:r/>
            <w:r>
              <w:rPr>
                <w:rFonts w:ascii="Aptos" w:hAnsi="Aptos"/>
                <w:b w:val="0"/>
                <w:color w:val="24313C"/>
                <w:sz w:val="17"/>
              </w:rPr>
              <w:t>printing, photocopying, and scanning</w:t>
            </w:r>
          </w:p>
        </w:tc>
        <w:tc>
          <w:tcPr>
            <w:tcW w:type="dxa" w:w="4680"/>
            <w:vAlign w:val="center"/>
            <w:tcMar>
              <w:top w:w="90" w:type="dxa"/>
              <w:start w:w="110" w:type="dxa"/>
              <w:bottom w:w="90" w:type="dxa"/>
              <w:end w:w="110" w:type="dxa"/>
            </w:tcMar>
            <w:shd w:fill="FFFFFF"/>
          </w:tcPr>
          <w:p>
            <w:pPr>
              <w:spacing w:after="0" w:line="240" w:lineRule="auto"/>
              <w:jc w:val="left"/>
            </w:pPr>
            <w:r/>
            <w:r>
              <w:rPr>
                <w:rFonts w:ascii="Aptos" w:hAnsi="Aptos"/>
                <w:b w:val="0"/>
                <w:color w:val="24313C"/>
                <w:sz w:val="17"/>
              </w:rPr>
              <w:t>STRIP_AND_RECALCULATE</w:t>
            </w:r>
          </w:p>
        </w:tc>
      </w:tr>
      <w:tr>
        <w:trPr>
          <w:cantSplit/>
        </w:trPr>
        <w:tc>
          <w:tcPr>
            <w:tcW w:type="dxa" w:w="4968"/>
            <w:vAlign w:val="center"/>
            <w:tcMar>
              <w:top w:w="90" w:type="dxa"/>
              <w:start w:w="110" w:type="dxa"/>
              <w:bottom w:w="90" w:type="dxa"/>
              <w:end w:w="110" w:type="dxa"/>
            </w:tcMar>
            <w:shd w:fill="F4F7F9"/>
          </w:tcPr>
          <w:p>
            <w:pPr>
              <w:spacing w:after="0" w:line="240" w:lineRule="auto"/>
              <w:jc w:val="left"/>
            </w:pPr>
            <w:r/>
            <w:r>
              <w:rPr>
                <w:rFonts w:ascii="Aptos" w:hAnsi="Aptos"/>
                <w:b w:val="0"/>
                <w:color w:val="24313C"/>
                <w:sz w:val="17"/>
              </w:rPr>
              <w:t>research, review, and file prep</w:t>
            </w:r>
          </w:p>
        </w:tc>
        <w:tc>
          <w:tcPr>
            <w:tcW w:type="dxa" w:w="4680"/>
            <w:vAlign w:val="center"/>
            <w:tcMar>
              <w:top w:w="90" w:type="dxa"/>
              <w:start w:w="110" w:type="dxa"/>
              <w:bottom w:w="90" w:type="dxa"/>
              <w:end w:w="110" w:type="dxa"/>
            </w:tcMar>
            <w:shd w:fill="F4F7F9"/>
          </w:tcPr>
          <w:p>
            <w:pPr>
              <w:spacing w:after="0" w:line="240" w:lineRule="auto"/>
              <w:jc w:val="left"/>
            </w:pPr>
            <w:r/>
            <w:r>
              <w:rPr>
                <w:rFonts w:ascii="Aptos" w:hAnsi="Aptos"/>
                <w:b w:val="0"/>
                <w:color w:val="24313C"/>
                <w:sz w:val="17"/>
              </w:rPr>
              <w:t>FLAG_FOR_AI_CONSENSUS_REWRITE</w:t>
            </w:r>
          </w:p>
        </w:tc>
      </w:tr>
    </w:tbl>
    <w:p>
      <w:pPr>
        <w:spacing w:after="20"/>
      </w:pPr>
    </w:p>
    <w:p>
      <w:pPr>
        <w:widowControl/>
      </w:pPr>
      <w:r>
        <w:t>The deterministic engine produces:</w:t>
      </w:r>
    </w:p>
    <w:p>
      <w:pPr>
        <w:pStyle w:val="ListBullet"/>
        <w:spacing w:after="60"/>
        <w:ind w:left="360" w:hanging="230"/>
      </w:pPr>
      <w:r>
        <w:t>Original hours</w:t>
      </w:r>
    </w:p>
    <w:p>
      <w:pPr>
        <w:pStyle w:val="ListBullet"/>
        <w:spacing w:after="60"/>
        <w:ind w:left="360" w:hanging="230"/>
      </w:pPr>
      <w:r>
        <w:t>Adjusted hours</w:t>
      </w:r>
    </w:p>
    <w:p>
      <w:pPr>
        <w:pStyle w:val="ListBullet"/>
        <w:spacing w:after="60"/>
        <w:ind w:left="360" w:hanging="230"/>
      </w:pPr>
      <w:r>
        <w:t>Original billing value</w:t>
      </w:r>
    </w:p>
    <w:p>
      <w:pPr>
        <w:pStyle w:val="ListBullet"/>
        <w:spacing w:after="60"/>
        <w:ind w:left="360" w:hanging="230"/>
      </w:pPr>
      <w:r>
        <w:t>Adjusted billing value</w:t>
      </w:r>
    </w:p>
    <w:p>
      <w:pPr>
        <w:pStyle w:val="ListBullet"/>
        <w:spacing w:after="60"/>
        <w:ind w:left="360" w:hanging="230"/>
      </w:pPr>
      <w:r>
        <w:t>Detected violations</w:t>
      </w:r>
    </w:p>
    <w:p>
      <w:pPr>
        <w:pStyle w:val="ListBullet"/>
        <w:spacing w:after="60"/>
        <w:ind w:left="360" w:hanging="230"/>
      </w:pPr>
      <w:r>
        <w:t>Whether AI consensus is required</w:t>
      </w:r>
    </w:p>
    <w:p>
      <w:pPr>
        <w:pStyle w:val="ListBullet"/>
        <w:spacing w:after="60"/>
        <w:ind w:left="360" w:hanging="230"/>
      </w:pPr>
      <w:r>
        <w:t>Sanitized narrative</w:t>
      </w:r>
    </w:p>
    <w:p>
      <w:pPr>
        <w:widowControl/>
      </w:pPr>
      <w:r>
        <w:t>That result—not the original transaction—is what determines the next processing path.</w:t>
      </w:r>
    </w:p>
    <w:p>
      <w:pPr>
        <w:pStyle w:val="Heading2"/>
        <w:keepNext/>
      </w:pPr>
      <w:r>
        <w:t>3.3 Deterministic Early Exit</w:t>
      </w:r>
    </w:p>
    <w:p>
      <w:pPr>
        <w:widowControl/>
      </w:pPr>
      <w:r>
        <w:t>The Transaction Orchestrator examines needs_ai_consensus.</w:t>
      </w:r>
    </w:p>
    <w:p>
      <w:pPr>
        <w:widowControl/>
      </w:pPr>
      <w:r>
        <w:t>When semantic review is unnecessary, the transaction exits early. It does not go through the AI network simply because AI exists.</w:t>
      </w:r>
    </w:p>
    <w:p>
      <w:pPr>
        <w:widowControl/>
      </w:pPr>
      <w:r>
        <w:t>The orchestrator returns a typed audit receipt using the DETERMINISTIC_ONLY pathway.</w:t>
      </w:r>
    </w:p>
    <w:tbl>
      <w:tblPr>
        <w:tblW w:type="auto" w:w="0"/>
        <w:jc w:val="center"/>
        <w:tblLayout w:type="fixed"/>
        <w:tblLook w:firstColumn="1" w:firstRow="1" w:lastColumn="0" w:lastRow="0" w:noHBand="0" w:noVBand="1" w:val="04A0"/>
      </w:tblPr>
      <w:tblGrid>
        <w:gridCol w:w="173"/>
        <w:gridCol w:w="9720"/>
      </w:tblGrid>
      <w:tr>
        <w:tc>
          <w:tcPr>
            <w:tcW w:type="dxa" w:w="4939"/>
            <w:shd w:fill="2E7D7A"/>
          </w:tcPr>
          <w:p>
            <w:r/>
          </w:p>
        </w:tc>
        <w:tc>
          <w:tcPr>
            <w:tcW w:type="dxa" w:w="4939"/>
            <w:shd w:fill="EAF1F5"/>
            <w:tcMar>
              <w:top w:w="150" w:type="dxa"/>
              <w:start w:w="180" w:type="dxa"/>
              <w:bottom w:w="150" w:type="dxa"/>
              <w:end w:w="180" w:type="dxa"/>
            </w:tcMar>
          </w:tcPr>
          <w:p>
            <w:pPr>
              <w:pStyle w:val="Callout"/>
              <w:spacing w:after="0"/>
            </w:pPr>
            <w:r>
              <w:rPr>
                <w:b/>
                <w:color w:val="2E7D7A"/>
                <w:sz w:val="16"/>
              </w:rPr>
              <w:t>CENTRAL DESIGN PRINCIPLE</w:t>
              <w:br/>
            </w:r>
            <w:r>
              <w:t>This early exit is one of the central DRE design principles: deterministic work remains deterministic.</w:t>
            </w:r>
          </w:p>
        </w:tc>
      </w:tr>
    </w:tbl>
    <w:p>
      <w:pPr>
        <w:spacing w:after="0"/>
      </w:pPr>
    </w:p>
    <w:p>
      <w:pPr>
        <w:pStyle w:val="Heading2"/>
        <w:keepNext/>
      </w:pPr>
      <w:r>
        <w:t>3.4 Tier 2 — AI Consensus Exception Review</w:t>
      </w:r>
    </w:p>
    <w:p>
      <w:pPr>
        <w:widowControl/>
      </w:pPr>
      <w:r>
        <w:t>Only a transaction flagged as requiring semantic assistance enters the Azure AI consensus wrapper.</w:t>
      </w:r>
    </w:p>
    <w:p>
      <w:pPr>
        <w:widowControl/>
      </w:pPr>
      <w:r>
        <w:t>The wrapper receives:</w:t>
      </w:r>
    </w:p>
    <w:p>
      <w:pPr>
        <w:pStyle w:val="ListBullet"/>
        <w:spacing w:after="60"/>
        <w:ind w:left="360" w:hanging="230"/>
      </w:pPr>
      <w:r>
        <w:t>Transaction ID</w:t>
      </w:r>
    </w:p>
    <w:p>
      <w:pPr>
        <w:pStyle w:val="ListBullet"/>
        <w:spacing w:after="60"/>
        <w:ind w:left="360" w:hanging="230"/>
      </w:pPr>
      <w:r>
        <w:t>Sanitized narrative</w:t>
      </w:r>
    </w:p>
    <w:p>
      <w:pPr>
        <w:pStyle w:val="ListBullet"/>
        <w:spacing w:after="60"/>
        <w:ind w:left="360" w:hanging="230"/>
      </w:pPr>
      <w:r>
        <w:t>Hourly rate</w:t>
      </w:r>
    </w:p>
    <w:p>
      <w:pPr>
        <w:widowControl/>
      </w:pPr>
      <w:r>
        <w:t>Three differentiated agents evaluate the same transaction in parallel:</w:t>
      </w:r>
    </w:p>
    <w:tbl>
      <w:tblPr>
        <w:tblStyle w:val="TableGrid"/>
        <w:tblW w:type="auto" w:w="0"/>
        <w:jc w:val="center"/>
        <w:tblLayout w:type="fixed"/>
        <w:tblLook w:firstColumn="1" w:firstRow="1" w:lastColumn="0" w:lastRow="0" w:noHBand="0" w:noVBand="1" w:val="04A0"/>
      </w:tblPr>
      <w:tblGrid>
        <w:gridCol w:w="1512"/>
        <w:gridCol w:w="2376"/>
        <w:gridCol w:w="5760"/>
      </w:tblGrid>
      <w:tr>
        <w:trPr>
          <w:tblHeader w:val="true"/>
        </w:trPr>
        <w:tc>
          <w:tcPr>
            <w:tcW w:type="dxa" w:w="3293"/>
            <w:vAlign w:val="center"/>
            <w:tcMar>
              <w:top w:w="90" w:type="dxa"/>
              <w:start w:w="110" w:type="dxa"/>
              <w:bottom w:w="90" w:type="dxa"/>
              <w:end w:w="110" w:type="dxa"/>
            </w:tcMar>
            <w:shd w:fill="16324F"/>
          </w:tcPr>
          <w:p>
            <w:pPr>
              <w:spacing w:after="0" w:line="240" w:lineRule="auto"/>
              <w:jc w:val="left"/>
            </w:pPr>
            <w:r/>
            <w:r>
              <w:rPr>
                <w:rFonts w:ascii="Aptos" w:hAnsi="Aptos"/>
                <w:b/>
                <w:color w:val="FFFFFF"/>
                <w:sz w:val="16"/>
              </w:rPr>
              <w:t>Agent</w:t>
            </w:r>
          </w:p>
        </w:tc>
        <w:tc>
          <w:tcPr>
            <w:tcW w:type="dxa" w:w="3293"/>
            <w:vAlign w:val="center"/>
            <w:tcMar>
              <w:top w:w="90" w:type="dxa"/>
              <w:start w:w="110" w:type="dxa"/>
              <w:bottom w:w="90" w:type="dxa"/>
              <w:end w:w="110" w:type="dxa"/>
            </w:tcMar>
            <w:shd w:fill="16324F"/>
          </w:tcPr>
          <w:p>
            <w:pPr>
              <w:spacing w:after="0" w:line="240" w:lineRule="auto"/>
              <w:jc w:val="left"/>
            </w:pPr>
            <w:r/>
            <w:r>
              <w:rPr>
                <w:rFonts w:ascii="Aptos" w:hAnsi="Aptos"/>
                <w:b/>
                <w:color w:val="FFFFFF"/>
                <w:sz w:val="16"/>
              </w:rPr>
              <w:t>Role</w:t>
            </w:r>
          </w:p>
        </w:tc>
        <w:tc>
          <w:tcPr>
            <w:tcW w:type="dxa" w:w="3293"/>
            <w:vAlign w:val="center"/>
            <w:tcMar>
              <w:top w:w="90" w:type="dxa"/>
              <w:start w:w="110" w:type="dxa"/>
              <w:bottom w:w="90" w:type="dxa"/>
              <w:end w:w="110" w:type="dxa"/>
            </w:tcMar>
            <w:shd w:fill="16324F"/>
          </w:tcPr>
          <w:p>
            <w:pPr>
              <w:spacing w:after="0" w:line="240" w:lineRule="auto"/>
              <w:jc w:val="left"/>
            </w:pPr>
            <w:r/>
            <w:r>
              <w:rPr>
                <w:rFonts w:ascii="Aptos" w:hAnsi="Aptos"/>
                <w:b/>
                <w:color w:val="FFFFFF"/>
                <w:sz w:val="16"/>
              </w:rPr>
              <w:t>Evaluation</w:t>
            </w:r>
          </w:p>
        </w:tc>
      </w:tr>
      <w:tr>
        <w:trPr>
          <w:cantSplit/>
        </w:trPr>
        <w:tc>
          <w:tcPr>
            <w:tcW w:type="dxa" w:w="1512"/>
            <w:vAlign w:val="center"/>
            <w:tcMar>
              <w:top w:w="90" w:type="dxa"/>
              <w:start w:w="110" w:type="dxa"/>
              <w:bottom w:w="90" w:type="dxa"/>
              <w:end w:w="110" w:type="dxa"/>
            </w:tcMar>
            <w:shd w:fill="FFFFFF"/>
          </w:tcPr>
          <w:p>
            <w:pPr>
              <w:spacing w:after="0" w:line="240" w:lineRule="auto"/>
              <w:jc w:val="left"/>
            </w:pPr>
            <w:r/>
            <w:r>
              <w:rPr>
                <w:rFonts w:ascii="Aptos" w:hAnsi="Aptos"/>
                <w:b w:val="0"/>
                <w:color w:val="24313C"/>
                <w:sz w:val="17"/>
              </w:rPr>
              <w:t>Agent A</w:t>
            </w:r>
          </w:p>
        </w:tc>
        <w:tc>
          <w:tcPr>
            <w:tcW w:type="dxa" w:w="2376"/>
            <w:vAlign w:val="center"/>
            <w:tcMar>
              <w:top w:w="90" w:type="dxa"/>
              <w:start w:w="110" w:type="dxa"/>
              <w:bottom w:w="90" w:type="dxa"/>
              <w:end w:w="110" w:type="dxa"/>
            </w:tcMar>
            <w:shd w:fill="FFFFFF"/>
          </w:tcPr>
          <w:p>
            <w:pPr>
              <w:spacing w:after="0" w:line="240" w:lineRule="auto"/>
              <w:jc w:val="left"/>
            </w:pPr>
            <w:r/>
            <w:r>
              <w:rPr>
                <w:rFonts w:ascii="Aptos" w:hAnsi="Aptos"/>
                <w:b w:val="0"/>
                <w:color w:val="24313C"/>
                <w:sz w:val="17"/>
              </w:rPr>
              <w:t>Schema Validator</w:t>
            </w:r>
          </w:p>
        </w:tc>
        <w:tc>
          <w:tcPr>
            <w:tcW w:type="dxa" w:w="5760"/>
            <w:vAlign w:val="center"/>
            <w:tcMar>
              <w:top w:w="90" w:type="dxa"/>
              <w:start w:w="110" w:type="dxa"/>
              <w:bottom w:w="90" w:type="dxa"/>
              <w:end w:w="110" w:type="dxa"/>
            </w:tcMar>
            <w:shd w:fill="FFFFFF"/>
          </w:tcPr>
          <w:p>
            <w:pPr>
              <w:spacing w:after="0" w:line="240" w:lineRule="auto"/>
              <w:jc w:val="left"/>
            </w:pPr>
            <w:r/>
            <w:r>
              <w:rPr>
                <w:rFonts w:ascii="Aptos" w:hAnsi="Aptos"/>
                <w:b w:val="0"/>
                <w:color w:val="24313C"/>
                <w:sz w:val="17"/>
              </w:rPr>
              <w:t>evaluates alignment with structured billable formats.</w:t>
            </w:r>
          </w:p>
        </w:tc>
      </w:tr>
      <w:tr>
        <w:trPr>
          <w:cantSplit/>
        </w:trPr>
        <w:tc>
          <w:tcPr>
            <w:tcW w:type="dxa" w:w="1512"/>
            <w:vAlign w:val="center"/>
            <w:tcMar>
              <w:top w:w="90" w:type="dxa"/>
              <w:start w:w="110" w:type="dxa"/>
              <w:bottom w:w="90" w:type="dxa"/>
              <w:end w:w="110" w:type="dxa"/>
            </w:tcMar>
            <w:shd w:fill="F4F7F9"/>
          </w:tcPr>
          <w:p>
            <w:pPr>
              <w:spacing w:after="0" w:line="240" w:lineRule="auto"/>
              <w:jc w:val="left"/>
            </w:pPr>
            <w:r/>
            <w:r>
              <w:rPr>
                <w:rFonts w:ascii="Aptos" w:hAnsi="Aptos"/>
                <w:b w:val="0"/>
                <w:color w:val="24313C"/>
                <w:sz w:val="17"/>
              </w:rPr>
              <w:t>Agent B</w:t>
            </w:r>
          </w:p>
        </w:tc>
        <w:tc>
          <w:tcPr>
            <w:tcW w:type="dxa" w:w="2376"/>
            <w:vAlign w:val="center"/>
            <w:tcMar>
              <w:top w:w="90" w:type="dxa"/>
              <w:start w:w="110" w:type="dxa"/>
              <w:bottom w:w="90" w:type="dxa"/>
              <w:end w:w="110" w:type="dxa"/>
            </w:tcMar>
            <w:shd w:fill="F4F7F9"/>
          </w:tcPr>
          <w:p>
            <w:pPr>
              <w:spacing w:after="0" w:line="240" w:lineRule="auto"/>
              <w:jc w:val="left"/>
            </w:pPr>
            <w:r/>
            <w:r>
              <w:rPr>
                <w:rFonts w:ascii="Aptos" w:hAnsi="Aptos"/>
                <w:b w:val="0"/>
                <w:color w:val="24313C"/>
                <w:sz w:val="17"/>
              </w:rPr>
              <w:t>Domain Expert</w:t>
            </w:r>
          </w:p>
        </w:tc>
        <w:tc>
          <w:tcPr>
            <w:tcW w:type="dxa" w:w="5760"/>
            <w:vAlign w:val="center"/>
            <w:tcMar>
              <w:top w:w="90" w:type="dxa"/>
              <w:start w:w="110" w:type="dxa"/>
              <w:bottom w:w="90" w:type="dxa"/>
              <w:end w:w="110" w:type="dxa"/>
            </w:tcMar>
            <w:shd w:fill="F4F7F9"/>
          </w:tcPr>
          <w:p>
            <w:pPr>
              <w:spacing w:after="0" w:line="240" w:lineRule="auto"/>
              <w:jc w:val="left"/>
            </w:pPr>
            <w:r/>
            <w:r>
              <w:rPr>
                <w:rFonts w:ascii="Aptos" w:hAnsi="Aptos"/>
                <w:b w:val="0"/>
                <w:color w:val="24313C"/>
                <w:sz w:val="17"/>
              </w:rPr>
              <w:t>evaluates whether the described work represents substantive rather than administrative work.</w:t>
            </w:r>
          </w:p>
        </w:tc>
      </w:tr>
      <w:tr>
        <w:trPr>
          <w:cantSplit/>
        </w:trPr>
        <w:tc>
          <w:tcPr>
            <w:tcW w:type="dxa" w:w="1512"/>
            <w:vAlign w:val="center"/>
            <w:tcMar>
              <w:top w:w="90" w:type="dxa"/>
              <w:start w:w="110" w:type="dxa"/>
              <w:bottom w:w="90" w:type="dxa"/>
              <w:end w:w="110" w:type="dxa"/>
            </w:tcMar>
            <w:shd w:fill="FFFFFF"/>
          </w:tcPr>
          <w:p>
            <w:pPr>
              <w:spacing w:after="0" w:line="240" w:lineRule="auto"/>
              <w:jc w:val="left"/>
            </w:pPr>
            <w:r/>
            <w:r>
              <w:rPr>
                <w:rFonts w:ascii="Aptos" w:hAnsi="Aptos"/>
                <w:b w:val="0"/>
                <w:color w:val="24313C"/>
                <w:sz w:val="17"/>
              </w:rPr>
              <w:t>Agent C</w:t>
            </w:r>
          </w:p>
        </w:tc>
        <w:tc>
          <w:tcPr>
            <w:tcW w:type="dxa" w:w="2376"/>
            <w:vAlign w:val="center"/>
            <w:tcMar>
              <w:top w:w="90" w:type="dxa"/>
              <w:start w:w="110" w:type="dxa"/>
              <w:bottom w:w="90" w:type="dxa"/>
              <w:end w:w="110" w:type="dxa"/>
            </w:tcMar>
            <w:shd w:fill="FFFFFF"/>
          </w:tcPr>
          <w:p>
            <w:pPr>
              <w:spacing w:after="0" w:line="240" w:lineRule="auto"/>
              <w:jc w:val="left"/>
            </w:pPr>
            <w:r/>
            <w:r>
              <w:rPr>
                <w:rFonts w:ascii="Aptos" w:hAnsi="Aptos"/>
                <w:b w:val="0"/>
                <w:color w:val="24313C"/>
                <w:sz w:val="17"/>
              </w:rPr>
              <w:t>Anomaly Detector</w:t>
            </w:r>
          </w:p>
        </w:tc>
        <w:tc>
          <w:tcPr>
            <w:tcW w:type="dxa" w:w="5760"/>
            <w:vAlign w:val="center"/>
            <w:tcMar>
              <w:top w:w="90" w:type="dxa"/>
              <w:start w:w="110" w:type="dxa"/>
              <w:bottom w:w="90" w:type="dxa"/>
              <w:end w:w="110" w:type="dxa"/>
            </w:tcMar>
            <w:shd w:fill="FFFFFF"/>
          </w:tcPr>
          <w:p>
            <w:pPr>
              <w:spacing w:after="0" w:line="240" w:lineRule="auto"/>
              <w:jc w:val="left"/>
            </w:pPr>
            <w:r/>
            <w:r>
              <w:rPr>
                <w:rFonts w:ascii="Aptos" w:hAnsi="Aptos"/>
                <w:b w:val="0"/>
                <w:color w:val="24313C"/>
                <w:sz w:val="17"/>
              </w:rPr>
              <w:t>looks for block billing and bundled unrelated work.</w:t>
            </w:r>
          </w:p>
        </w:tc>
      </w:tr>
    </w:tbl>
    <w:p>
      <w:pPr>
        <w:spacing w:after="20"/>
      </w:pPr>
    </w:p>
    <w:p>
      <w:pPr>
        <w:widowControl/>
      </w:pPr>
      <w:r>
        <w:t>Each agent returns a structured record containing its vote, confidence score, extracted intent, and reasoning.</w:t>
      </w:r>
    </w:p>
    <w:tbl>
      <w:tblPr>
        <w:tblW w:type="auto" w:w="0"/>
        <w:jc w:val="center"/>
        <w:tblLayout w:type="fixed"/>
        <w:tblLook w:firstColumn="1" w:firstRow="1" w:lastColumn="0" w:lastRow="0" w:noHBand="0" w:noVBand="1" w:val="04A0"/>
      </w:tblPr>
      <w:tblGrid>
        <w:gridCol w:w="2174"/>
        <w:gridCol w:w="317"/>
        <w:gridCol w:w="2174"/>
        <w:gridCol w:w="317"/>
        <w:gridCol w:w="2174"/>
        <w:gridCol w:w="317"/>
        <w:gridCol w:w="2174"/>
      </w:tblGrid>
      <w:tr>
        <w:tc>
          <w:tcPr>
            <w:tcW w:type="dxa" w:w="1411"/>
            <w:vAlign w:val="center"/>
            <w:tcMar>
              <w:top w:w="90" w:type="dxa"/>
              <w:start w:w="110" w:type="dxa"/>
              <w:bottom w:w="90" w:type="dxa"/>
              <w:end w:w="110" w:type="dxa"/>
            </w:tcMar>
            <w:shd w:fill="2E7D7A"/>
          </w:tcPr>
          <w:p>
            <w:pPr>
              <w:spacing w:after="0" w:line="240" w:lineRule="auto"/>
              <w:jc w:val="center"/>
            </w:pPr>
            <w:r/>
            <w:r>
              <w:rPr>
                <w:rFonts w:ascii="Aptos" w:hAnsi="Aptos"/>
                <w:b/>
                <w:color w:val="FFFFFF"/>
                <w:sz w:val="15"/>
              </w:rPr>
              <w:t>Sanitized flagged</w:t>
              <w:br/>
              <w:t>transaction</w:t>
            </w:r>
          </w:p>
        </w:tc>
        <w:tc>
          <w:tcPr>
            <w:tcW w:type="dxa" w:w="1411"/>
            <w:vAlign w:val="center"/>
            <w:tcMar>
              <w:top w:w="90" w:type="dxa"/>
              <w:start w:w="110" w:type="dxa"/>
              <w:bottom w:w="90" w:type="dxa"/>
              <w:end w:w="110" w:type="dxa"/>
            </w:tcMar>
            <w:shd w:fill="FFFFFF"/>
          </w:tcPr>
          <w:p>
            <w:pPr>
              <w:spacing w:after="0" w:line="240" w:lineRule="auto"/>
              <w:jc w:val="center"/>
            </w:pPr>
            <w:r/>
            <w:r>
              <w:rPr>
                <w:rFonts w:ascii="Aptos" w:hAnsi="Aptos"/>
                <w:b/>
                <w:color w:val="2E7D7A"/>
                <w:sz w:val="26"/>
              </w:rPr>
              <w:t>→</w:t>
            </w:r>
          </w:p>
        </w:tc>
        <w:tc>
          <w:tcPr>
            <w:tcW w:type="dxa" w:w="1411"/>
            <w:vAlign w:val="center"/>
            <w:tcMar>
              <w:top w:w="90" w:type="dxa"/>
              <w:start w:w="110" w:type="dxa"/>
              <w:bottom w:w="90" w:type="dxa"/>
              <w:end w:w="110" w:type="dxa"/>
            </w:tcMar>
            <w:shd w:fill="1F5F8B"/>
          </w:tcPr>
          <w:p>
            <w:pPr>
              <w:spacing w:after="0" w:line="240" w:lineRule="auto"/>
              <w:jc w:val="center"/>
            </w:pPr>
            <w:r/>
            <w:r>
              <w:rPr>
                <w:rFonts w:ascii="Aptos" w:hAnsi="Aptos"/>
                <w:b/>
                <w:color w:val="FFFFFF"/>
                <w:sz w:val="15"/>
              </w:rPr>
              <w:t>Agent A</w:t>
              <w:br/>
              <w:t>Schema Validator</w:t>
            </w:r>
          </w:p>
        </w:tc>
        <w:tc>
          <w:tcPr>
            <w:tcW w:type="dxa" w:w="1411"/>
            <w:vAlign w:val="center"/>
            <w:tcMar>
              <w:top w:w="90" w:type="dxa"/>
              <w:start w:w="110" w:type="dxa"/>
              <w:bottom w:w="90" w:type="dxa"/>
              <w:end w:w="110" w:type="dxa"/>
            </w:tcMar>
            <w:shd w:fill="FFFFFF"/>
          </w:tcPr>
          <w:p>
            <w:pPr>
              <w:spacing w:after="0" w:line="240" w:lineRule="auto"/>
              <w:jc w:val="center"/>
            </w:pPr>
            <w:r/>
            <w:r>
              <w:rPr>
                <w:rFonts w:ascii="Aptos" w:hAnsi="Aptos"/>
                <w:b/>
                <w:color w:val="2E7D7A"/>
                <w:sz w:val="26"/>
              </w:rPr>
              <w:t>→</w:t>
            </w:r>
          </w:p>
        </w:tc>
        <w:tc>
          <w:tcPr>
            <w:tcW w:type="dxa" w:w="1411"/>
            <w:vAlign w:val="center"/>
            <w:tcMar>
              <w:top w:w="90" w:type="dxa"/>
              <w:start w:w="110" w:type="dxa"/>
              <w:bottom w:w="90" w:type="dxa"/>
              <w:end w:w="110" w:type="dxa"/>
            </w:tcMar>
            <w:shd w:fill="1F5F8B"/>
          </w:tcPr>
          <w:p>
            <w:pPr>
              <w:spacing w:after="0" w:line="240" w:lineRule="auto"/>
              <w:jc w:val="center"/>
            </w:pPr>
            <w:r/>
            <w:r>
              <w:rPr>
                <w:rFonts w:ascii="Aptos" w:hAnsi="Aptos"/>
                <w:b/>
                <w:color w:val="FFFFFF"/>
                <w:sz w:val="15"/>
              </w:rPr>
              <w:t>Agent B</w:t>
              <w:br/>
              <w:t>Domain Expert</w:t>
            </w:r>
          </w:p>
        </w:tc>
        <w:tc>
          <w:tcPr>
            <w:tcW w:type="dxa" w:w="1411"/>
            <w:vAlign w:val="center"/>
            <w:tcMar>
              <w:top w:w="90" w:type="dxa"/>
              <w:start w:w="110" w:type="dxa"/>
              <w:bottom w:w="90" w:type="dxa"/>
              <w:end w:w="110" w:type="dxa"/>
            </w:tcMar>
            <w:shd w:fill="FFFFFF"/>
          </w:tcPr>
          <w:p>
            <w:pPr>
              <w:spacing w:after="0" w:line="240" w:lineRule="auto"/>
              <w:jc w:val="center"/>
            </w:pPr>
            <w:r/>
            <w:r>
              <w:rPr>
                <w:rFonts w:ascii="Aptos" w:hAnsi="Aptos"/>
                <w:b/>
                <w:color w:val="2E7D7A"/>
                <w:sz w:val="26"/>
              </w:rPr>
              <w:t>→</w:t>
            </w:r>
          </w:p>
        </w:tc>
        <w:tc>
          <w:tcPr>
            <w:tcW w:type="dxa" w:w="1411"/>
            <w:vAlign w:val="center"/>
            <w:tcMar>
              <w:top w:w="90" w:type="dxa"/>
              <w:start w:w="110" w:type="dxa"/>
              <w:bottom w:w="90" w:type="dxa"/>
              <w:end w:w="110" w:type="dxa"/>
            </w:tcMar>
            <w:shd w:fill="1F5F8B"/>
          </w:tcPr>
          <w:p>
            <w:pPr>
              <w:spacing w:after="0" w:line="240" w:lineRule="auto"/>
              <w:jc w:val="center"/>
            </w:pPr>
            <w:r/>
            <w:r>
              <w:rPr>
                <w:rFonts w:ascii="Aptos" w:hAnsi="Aptos"/>
                <w:b/>
                <w:color w:val="FFFFFF"/>
                <w:sz w:val="15"/>
              </w:rPr>
              <w:t>Agent C</w:t>
              <w:br/>
              <w:t>Anomaly Detector</w:t>
            </w:r>
          </w:p>
        </w:tc>
      </w:tr>
    </w:tbl>
    <w:p>
      <w:pPr>
        <w:pStyle w:val="Caption"/>
        <w:keepNext w:val="0"/>
        <w:jc w:val="center"/>
      </w:pPr>
      <w:r>
        <w:t>Figure 3. Parallel AI consensus exception review</w:t>
      </w:r>
    </w:p>
    <w:p>
      <w:pPr>
        <w:pStyle w:val="Heading2"/>
        <w:keepNext/>
      </w:pPr>
      <w:r>
        <w:t>3.5 Deterministic Referee</w:t>
      </w:r>
    </w:p>
    <w:p>
      <w:pPr>
        <w:widowControl/>
      </w:pPr>
      <w:r>
        <w:t>The AI agents do not independently determine the final system action.</w:t>
      </w:r>
    </w:p>
    <w:p>
      <w:pPr>
        <w:widowControl/>
      </w:pPr>
      <w:r>
        <w:t>Their votes return to TypeScript, where explicit deterministic counting rules act as the referee.</w:t>
      </w:r>
    </w:p>
    <w:p>
      <w:pPr>
        <w:widowControl/>
      </w:pPr>
      <w:r>
        <w:t>The current coded outcomes are:</w:t>
      </w:r>
    </w:p>
    <w:p>
      <w:pPr>
        <w:pStyle w:val="ListBullet"/>
        <w:spacing w:after="60"/>
        <w:ind w:left="360" w:hanging="230"/>
      </w:pPr>
      <w:r>
        <w:t>Two or more REJECT votes → HARD_REJECT</w:t>
      </w:r>
    </w:p>
    <w:p>
      <w:pPr>
        <w:pStyle w:val="ListBullet"/>
        <w:spacing w:after="60"/>
        <w:ind w:left="360" w:hanging="230"/>
      </w:pPr>
      <w:r>
        <w:t>Two or more APPROVE_WITH_MODIFICATION votes → RECONSTRUCT_AND_SPLIT</w:t>
      </w:r>
    </w:p>
    <w:p>
      <w:pPr>
        <w:pStyle w:val="ListBullet"/>
        <w:spacing w:after="60"/>
        <w:ind w:left="360" w:hanging="230"/>
      </w:pPr>
      <w:r>
        <w:t>One approve + one modify + one reject → RECONSTRUCT_AND_SPLIT</w:t>
      </w:r>
    </w:p>
    <w:p>
      <w:pPr>
        <w:pStyle w:val="ListBullet"/>
        <w:spacing w:after="60"/>
        <w:ind w:left="360" w:hanging="230"/>
      </w:pPr>
      <w:r>
        <w:t>Two or more APPROVE votes → COMMIT_TO_DATABASE</w:t>
      </w:r>
    </w:p>
    <w:p>
      <w:pPr>
        <w:pStyle w:val="ListBullet"/>
        <w:spacing w:after="60"/>
        <w:ind w:left="360" w:hanging="230"/>
      </w:pPr>
      <w:r>
        <w:t>Other/safe-state condition → human escalation</w:t>
      </w:r>
    </w:p>
    <w:tbl>
      <w:tblPr>
        <w:tblStyle w:val="TableGrid"/>
        <w:tblW w:type="auto" w:w="0"/>
        <w:jc w:val="center"/>
        <w:tblLayout w:type="fixed"/>
        <w:tblLook w:firstColumn="1" w:firstRow="1" w:lastColumn="0" w:lastRow="0" w:noHBand="0" w:noVBand="1" w:val="04A0"/>
      </w:tblPr>
      <w:tblGrid>
        <w:gridCol w:w="5832"/>
        <w:gridCol w:w="3816"/>
      </w:tblGrid>
      <w:tr>
        <w:trPr>
          <w:tblHeader w:val="true"/>
        </w:trPr>
        <w:tc>
          <w:tcPr>
            <w:tcW w:type="dxa" w:w="4939"/>
            <w:vAlign w:val="center"/>
            <w:tcMar>
              <w:top w:w="90" w:type="dxa"/>
              <w:start w:w="110" w:type="dxa"/>
              <w:bottom w:w="90" w:type="dxa"/>
              <w:end w:w="110" w:type="dxa"/>
            </w:tcMar>
            <w:shd w:fill="16324F"/>
          </w:tcPr>
          <w:p>
            <w:pPr>
              <w:spacing w:after="0" w:line="240" w:lineRule="auto"/>
              <w:jc w:val="left"/>
            </w:pPr>
            <w:r/>
            <w:r>
              <w:rPr>
                <w:rFonts w:ascii="Aptos" w:hAnsi="Aptos"/>
                <w:b/>
                <w:color w:val="FFFFFF"/>
                <w:sz w:val="16"/>
              </w:rPr>
              <w:t>Vote condition</w:t>
            </w:r>
          </w:p>
        </w:tc>
        <w:tc>
          <w:tcPr>
            <w:tcW w:type="dxa" w:w="4939"/>
            <w:vAlign w:val="center"/>
            <w:tcMar>
              <w:top w:w="90" w:type="dxa"/>
              <w:start w:w="110" w:type="dxa"/>
              <w:bottom w:w="90" w:type="dxa"/>
              <w:end w:w="110" w:type="dxa"/>
            </w:tcMar>
            <w:shd w:fill="16324F"/>
          </w:tcPr>
          <w:p>
            <w:pPr>
              <w:spacing w:after="0" w:line="240" w:lineRule="auto"/>
              <w:jc w:val="left"/>
            </w:pPr>
            <w:r/>
            <w:r>
              <w:rPr>
                <w:rFonts w:ascii="Aptos" w:hAnsi="Aptos"/>
                <w:b/>
                <w:color w:val="FFFFFF"/>
                <w:sz w:val="16"/>
              </w:rPr>
              <w:t>System action</w:t>
            </w:r>
          </w:p>
        </w:tc>
      </w:tr>
      <w:tr>
        <w:trPr>
          <w:cantSplit/>
        </w:trPr>
        <w:tc>
          <w:tcPr>
            <w:tcW w:type="dxa" w:w="5832"/>
            <w:vAlign w:val="center"/>
            <w:tcMar>
              <w:top w:w="90" w:type="dxa"/>
              <w:start w:w="110" w:type="dxa"/>
              <w:bottom w:w="90" w:type="dxa"/>
              <w:end w:w="110" w:type="dxa"/>
            </w:tcMar>
            <w:shd w:fill="FFFFFF"/>
          </w:tcPr>
          <w:p>
            <w:pPr>
              <w:spacing w:after="0" w:line="240" w:lineRule="auto"/>
              <w:jc w:val="left"/>
            </w:pPr>
            <w:r/>
            <w:r>
              <w:rPr>
                <w:rFonts w:ascii="Aptos" w:hAnsi="Aptos"/>
                <w:b w:val="0"/>
                <w:color w:val="24313C"/>
                <w:sz w:val="17"/>
              </w:rPr>
              <w:t>Two or more REJECT votes</w:t>
            </w:r>
          </w:p>
        </w:tc>
        <w:tc>
          <w:tcPr>
            <w:tcW w:type="dxa" w:w="3816"/>
            <w:vAlign w:val="center"/>
            <w:tcMar>
              <w:top w:w="90" w:type="dxa"/>
              <w:start w:w="110" w:type="dxa"/>
              <w:bottom w:w="90" w:type="dxa"/>
              <w:end w:w="110" w:type="dxa"/>
            </w:tcMar>
            <w:shd w:fill="FFFFFF"/>
          </w:tcPr>
          <w:p>
            <w:pPr>
              <w:spacing w:after="0" w:line="240" w:lineRule="auto"/>
              <w:jc w:val="left"/>
            </w:pPr>
            <w:r/>
            <w:r>
              <w:rPr>
                <w:rFonts w:ascii="Aptos" w:hAnsi="Aptos"/>
                <w:b w:val="0"/>
                <w:color w:val="24313C"/>
                <w:sz w:val="17"/>
              </w:rPr>
              <w:t>HARD_REJECT</w:t>
            </w:r>
          </w:p>
        </w:tc>
      </w:tr>
      <w:tr>
        <w:trPr>
          <w:cantSplit/>
        </w:trPr>
        <w:tc>
          <w:tcPr>
            <w:tcW w:type="dxa" w:w="5832"/>
            <w:vAlign w:val="center"/>
            <w:tcMar>
              <w:top w:w="90" w:type="dxa"/>
              <w:start w:w="110" w:type="dxa"/>
              <w:bottom w:w="90" w:type="dxa"/>
              <w:end w:w="110" w:type="dxa"/>
            </w:tcMar>
            <w:shd w:fill="F4F7F9"/>
          </w:tcPr>
          <w:p>
            <w:pPr>
              <w:spacing w:after="0" w:line="240" w:lineRule="auto"/>
              <w:jc w:val="left"/>
            </w:pPr>
            <w:r/>
            <w:r>
              <w:rPr>
                <w:rFonts w:ascii="Aptos" w:hAnsi="Aptos"/>
                <w:b w:val="0"/>
                <w:color w:val="24313C"/>
                <w:sz w:val="17"/>
              </w:rPr>
              <w:t>Two or more APPROVE_WITH_MODIFICATION votes</w:t>
            </w:r>
          </w:p>
        </w:tc>
        <w:tc>
          <w:tcPr>
            <w:tcW w:type="dxa" w:w="3816"/>
            <w:vAlign w:val="center"/>
            <w:tcMar>
              <w:top w:w="90" w:type="dxa"/>
              <w:start w:w="110" w:type="dxa"/>
              <w:bottom w:w="90" w:type="dxa"/>
              <w:end w:w="110" w:type="dxa"/>
            </w:tcMar>
            <w:shd w:fill="F4F7F9"/>
          </w:tcPr>
          <w:p>
            <w:pPr>
              <w:spacing w:after="0" w:line="240" w:lineRule="auto"/>
              <w:jc w:val="left"/>
            </w:pPr>
            <w:r/>
            <w:r>
              <w:rPr>
                <w:rFonts w:ascii="Aptos" w:hAnsi="Aptos"/>
                <w:b w:val="0"/>
                <w:color w:val="24313C"/>
                <w:sz w:val="17"/>
              </w:rPr>
              <w:t>RECONSTRUCT_AND_SPLIT</w:t>
            </w:r>
          </w:p>
        </w:tc>
      </w:tr>
      <w:tr>
        <w:trPr>
          <w:cantSplit/>
        </w:trPr>
        <w:tc>
          <w:tcPr>
            <w:tcW w:type="dxa" w:w="5832"/>
            <w:vAlign w:val="center"/>
            <w:tcMar>
              <w:top w:w="90" w:type="dxa"/>
              <w:start w:w="110" w:type="dxa"/>
              <w:bottom w:w="90" w:type="dxa"/>
              <w:end w:w="110" w:type="dxa"/>
            </w:tcMar>
            <w:shd w:fill="FFFFFF"/>
          </w:tcPr>
          <w:p>
            <w:pPr>
              <w:spacing w:after="0" w:line="240" w:lineRule="auto"/>
              <w:jc w:val="left"/>
            </w:pPr>
            <w:r/>
            <w:r>
              <w:rPr>
                <w:rFonts w:ascii="Aptos" w:hAnsi="Aptos"/>
                <w:b w:val="0"/>
                <w:color w:val="24313C"/>
                <w:sz w:val="17"/>
              </w:rPr>
              <w:t>One approve + one modify + one reject</w:t>
            </w:r>
          </w:p>
        </w:tc>
        <w:tc>
          <w:tcPr>
            <w:tcW w:type="dxa" w:w="3816"/>
            <w:vAlign w:val="center"/>
            <w:tcMar>
              <w:top w:w="90" w:type="dxa"/>
              <w:start w:w="110" w:type="dxa"/>
              <w:bottom w:w="90" w:type="dxa"/>
              <w:end w:w="110" w:type="dxa"/>
            </w:tcMar>
            <w:shd w:fill="FFFFFF"/>
          </w:tcPr>
          <w:p>
            <w:pPr>
              <w:spacing w:after="0" w:line="240" w:lineRule="auto"/>
              <w:jc w:val="left"/>
            </w:pPr>
            <w:r/>
            <w:r>
              <w:rPr>
                <w:rFonts w:ascii="Aptos" w:hAnsi="Aptos"/>
                <w:b w:val="0"/>
                <w:color w:val="24313C"/>
                <w:sz w:val="17"/>
              </w:rPr>
              <w:t>RECONSTRUCT_AND_SPLIT</w:t>
            </w:r>
          </w:p>
        </w:tc>
      </w:tr>
      <w:tr>
        <w:trPr>
          <w:cantSplit/>
        </w:trPr>
        <w:tc>
          <w:tcPr>
            <w:tcW w:type="dxa" w:w="5832"/>
            <w:vAlign w:val="center"/>
            <w:tcMar>
              <w:top w:w="90" w:type="dxa"/>
              <w:start w:w="110" w:type="dxa"/>
              <w:bottom w:w="90" w:type="dxa"/>
              <w:end w:w="110" w:type="dxa"/>
            </w:tcMar>
            <w:shd w:fill="F4F7F9"/>
          </w:tcPr>
          <w:p>
            <w:pPr>
              <w:spacing w:after="0" w:line="240" w:lineRule="auto"/>
              <w:jc w:val="left"/>
            </w:pPr>
            <w:r/>
            <w:r>
              <w:rPr>
                <w:rFonts w:ascii="Aptos" w:hAnsi="Aptos"/>
                <w:b w:val="0"/>
                <w:color w:val="24313C"/>
                <w:sz w:val="17"/>
              </w:rPr>
              <w:t>Two or more APPROVE votes</w:t>
            </w:r>
          </w:p>
        </w:tc>
        <w:tc>
          <w:tcPr>
            <w:tcW w:type="dxa" w:w="3816"/>
            <w:vAlign w:val="center"/>
            <w:tcMar>
              <w:top w:w="90" w:type="dxa"/>
              <w:start w:w="110" w:type="dxa"/>
              <w:bottom w:w="90" w:type="dxa"/>
              <w:end w:w="110" w:type="dxa"/>
            </w:tcMar>
            <w:shd w:fill="F4F7F9"/>
          </w:tcPr>
          <w:p>
            <w:pPr>
              <w:spacing w:after="0" w:line="240" w:lineRule="auto"/>
              <w:jc w:val="left"/>
            </w:pPr>
            <w:r/>
            <w:r>
              <w:rPr>
                <w:rFonts w:ascii="Aptos" w:hAnsi="Aptos"/>
                <w:b w:val="0"/>
                <w:color w:val="24313C"/>
                <w:sz w:val="17"/>
              </w:rPr>
              <w:t>COMMIT_TO_DATABASE</w:t>
            </w:r>
          </w:p>
        </w:tc>
      </w:tr>
      <w:tr>
        <w:trPr>
          <w:cantSplit/>
        </w:trPr>
        <w:tc>
          <w:tcPr>
            <w:tcW w:type="dxa" w:w="5832"/>
            <w:vAlign w:val="center"/>
            <w:tcMar>
              <w:top w:w="90" w:type="dxa"/>
              <w:start w:w="110" w:type="dxa"/>
              <w:bottom w:w="90" w:type="dxa"/>
              <w:end w:w="110" w:type="dxa"/>
            </w:tcMar>
            <w:shd w:fill="FFFFFF"/>
          </w:tcPr>
          <w:p>
            <w:pPr>
              <w:spacing w:after="0" w:line="240" w:lineRule="auto"/>
              <w:jc w:val="left"/>
            </w:pPr>
            <w:r/>
            <w:r>
              <w:rPr>
                <w:rFonts w:ascii="Aptos" w:hAnsi="Aptos"/>
                <w:b w:val="0"/>
                <w:color w:val="24313C"/>
                <w:sz w:val="17"/>
              </w:rPr>
              <w:t>Other/safe-state condition</w:t>
            </w:r>
          </w:p>
        </w:tc>
        <w:tc>
          <w:tcPr>
            <w:tcW w:type="dxa" w:w="3816"/>
            <w:vAlign w:val="center"/>
            <w:tcMar>
              <w:top w:w="90" w:type="dxa"/>
              <w:start w:w="110" w:type="dxa"/>
              <w:bottom w:w="90" w:type="dxa"/>
              <w:end w:w="110" w:type="dxa"/>
            </w:tcMar>
            <w:shd w:fill="FFFFFF"/>
          </w:tcPr>
          <w:p>
            <w:pPr>
              <w:spacing w:after="0" w:line="240" w:lineRule="auto"/>
              <w:jc w:val="left"/>
            </w:pPr>
            <w:r/>
            <w:r>
              <w:rPr>
                <w:rFonts w:ascii="Aptos" w:hAnsi="Aptos"/>
                <w:b w:val="0"/>
                <w:color w:val="24313C"/>
                <w:sz w:val="17"/>
              </w:rPr>
              <w:t>human escalation</w:t>
            </w:r>
          </w:p>
        </w:tc>
      </w:tr>
    </w:tbl>
    <w:p>
      <w:pPr>
        <w:spacing w:after="20"/>
      </w:pPr>
    </w:p>
    <w:p>
      <w:pPr>
        <w:widowControl/>
      </w:pPr>
      <w:r>
        <w:t>So the architecture separates probabilistic interpretation from deterministic routing.</w:t>
      </w:r>
    </w:p>
    <w:p>
      <w:pPr>
        <w:pStyle w:val="Heading2"/>
        <w:keepNext/>
      </w:pPr>
      <w:r>
        <w:t>3.6 Financial Finalization</w:t>
      </w:r>
    </w:p>
    <w:p>
      <w:pPr>
        <w:widowControl/>
      </w:pPr>
      <w:r>
        <w:t>After consensus returns, the orchestrator determines the transaction’s final calculated value.</w:t>
      </w:r>
    </w:p>
    <w:p>
      <w:pPr>
        <w:widowControl/>
      </w:pPr>
      <w:r>
        <w:t>The deterministic adjusted value is retained by default. A HARD_REJECT currently sets the final value to zero.</w:t>
      </w:r>
    </w:p>
    <w:p>
      <w:pPr>
        <w:widowControl/>
      </w:pPr>
      <w:r>
        <w:t>The orchestrator then calculates the difference between original and final values.</w:t>
      </w:r>
    </w:p>
    <w:tbl>
      <w:tblPr>
        <w:tblW w:type="auto" w:w="0"/>
        <w:jc w:val="center"/>
        <w:tblLayout w:type="fixed"/>
        <w:tblLook w:firstColumn="1" w:firstRow="1" w:lastColumn="0" w:lastRow="0" w:noHBand="0" w:noVBand="1" w:val="04A0"/>
      </w:tblPr>
      <w:tblGrid>
        <w:gridCol w:w="173"/>
        <w:gridCol w:w="9720"/>
      </w:tblGrid>
      <w:tr>
        <w:tc>
          <w:tcPr>
            <w:tcW w:type="dxa" w:w="4939"/>
            <w:shd w:fill="C89B3C"/>
          </w:tcPr>
          <w:p>
            <w:r/>
          </w:p>
        </w:tc>
        <w:tc>
          <w:tcPr>
            <w:tcW w:type="dxa" w:w="4939"/>
            <w:shd w:fill="F7F2E8"/>
            <w:tcMar>
              <w:top w:w="150" w:type="dxa"/>
              <w:start w:w="180" w:type="dxa"/>
              <w:bottom w:w="150" w:type="dxa"/>
              <w:end w:w="180" w:type="dxa"/>
            </w:tcMar>
          </w:tcPr>
          <w:p>
            <w:pPr>
              <w:pStyle w:val="Callout"/>
              <w:spacing w:after="0"/>
            </w:pPr>
            <w:r>
              <w:rPr>
                <w:b/>
                <w:color w:val="C89B3C"/>
                <w:sz w:val="16"/>
              </w:rPr>
              <w:t>TERMINOLOGY DISCIPLINE</w:t>
              <w:br/>
            </w:r>
            <w:r>
              <w:t>The documentation already identifies that this terminology needs discipline: an identified difference should be treated as a proposed/flagged adjustment until authorized disposition establishes an actual realized financial outcome.</w:t>
            </w:r>
          </w:p>
        </w:tc>
      </w:tr>
    </w:tbl>
    <w:p>
      <w:pPr>
        <w:spacing w:after="0"/>
      </w:pPr>
    </w:p>
    <w:p>
      <w:pPr>
        <w:pStyle w:val="Heading2"/>
        <w:keepNext/>
      </w:pPr>
      <w:r>
        <w:t>3.7 Human Escalation and Safe Failure</w:t>
      </w:r>
    </w:p>
    <w:p>
      <w:pPr>
        <w:widowControl/>
      </w:pPr>
      <w:r>
        <w:t>Human review is part of the processing architecture rather than an exception outside it.</w:t>
      </w:r>
    </w:p>
    <w:p>
      <w:pPr>
        <w:widowControl/>
      </w:pPr>
      <w:r>
        <w:t>When the consensus component returns an escalation state, the transaction can be routed for human review.</w:t>
      </w:r>
    </w:p>
    <w:p>
      <w:pPr>
        <w:widowControl/>
      </w:pPr>
      <w:r>
        <w:t>There is also an explicit failure path: if the consensus call throws an error, DRE preserves the deterministic result rather than discarding the transaction or silently approving it. The orchestrator returns the deterministic value and sanitized narrative and marks the transaction ESCALATED_TO_HUMAN.</w:t>
      </w:r>
    </w:p>
    <w:tbl>
      <w:tblPr>
        <w:tblW w:type="auto" w:w="0"/>
        <w:jc w:val="center"/>
        <w:tblLayout w:type="fixed"/>
        <w:tblLook w:firstColumn="1" w:firstRow="1" w:lastColumn="0" w:lastRow="0" w:noHBand="0" w:noVBand="1" w:val="04A0"/>
      </w:tblPr>
      <w:tblGrid>
        <w:gridCol w:w="2174"/>
        <w:gridCol w:w="317"/>
        <w:gridCol w:w="2174"/>
        <w:gridCol w:w="317"/>
        <w:gridCol w:w="2174"/>
        <w:gridCol w:w="317"/>
        <w:gridCol w:w="2174"/>
      </w:tblGrid>
      <w:tr>
        <w:tc>
          <w:tcPr>
            <w:tcW w:type="dxa" w:w="1411"/>
            <w:vAlign w:val="center"/>
            <w:tcMar>
              <w:top w:w="90" w:type="dxa"/>
              <w:start w:w="110" w:type="dxa"/>
              <w:bottom w:w="90" w:type="dxa"/>
              <w:end w:w="110" w:type="dxa"/>
            </w:tcMar>
            <w:shd w:fill="A33A32"/>
          </w:tcPr>
          <w:p>
            <w:pPr>
              <w:spacing w:after="0" w:line="240" w:lineRule="auto"/>
              <w:jc w:val="center"/>
            </w:pPr>
            <w:r/>
            <w:r>
              <w:rPr>
                <w:rFonts w:ascii="Aptos" w:hAnsi="Aptos"/>
                <w:b/>
                <w:color w:val="FFFFFF"/>
                <w:sz w:val="15"/>
              </w:rPr>
              <w:t>Consensus call</w:t>
              <w:br/>
              <w:t>error</w:t>
            </w:r>
          </w:p>
        </w:tc>
        <w:tc>
          <w:tcPr>
            <w:tcW w:type="dxa" w:w="1411"/>
            <w:vAlign w:val="center"/>
            <w:tcMar>
              <w:top w:w="90" w:type="dxa"/>
              <w:start w:w="110" w:type="dxa"/>
              <w:bottom w:w="90" w:type="dxa"/>
              <w:end w:w="110" w:type="dxa"/>
            </w:tcMar>
            <w:shd w:fill="FFFFFF"/>
          </w:tcPr>
          <w:p>
            <w:pPr>
              <w:spacing w:after="0" w:line="240" w:lineRule="auto"/>
              <w:jc w:val="center"/>
            </w:pPr>
            <w:r/>
            <w:r>
              <w:rPr>
                <w:rFonts w:ascii="Aptos" w:hAnsi="Aptos"/>
                <w:b/>
                <w:color w:val="2E7D7A"/>
                <w:sz w:val="26"/>
              </w:rPr>
              <w:t>→</w:t>
            </w:r>
          </w:p>
        </w:tc>
        <w:tc>
          <w:tcPr>
            <w:tcW w:type="dxa" w:w="1411"/>
            <w:vAlign w:val="center"/>
            <w:tcMar>
              <w:top w:w="90" w:type="dxa"/>
              <w:start w:w="110" w:type="dxa"/>
              <w:bottom w:w="90" w:type="dxa"/>
              <w:end w:w="110" w:type="dxa"/>
            </w:tcMar>
            <w:shd w:fill="2E7D7A"/>
          </w:tcPr>
          <w:p>
            <w:pPr>
              <w:spacing w:after="0" w:line="240" w:lineRule="auto"/>
              <w:jc w:val="center"/>
            </w:pPr>
            <w:r/>
            <w:r>
              <w:rPr>
                <w:rFonts w:ascii="Aptos" w:hAnsi="Aptos"/>
                <w:b/>
                <w:color w:val="FFFFFF"/>
                <w:sz w:val="15"/>
              </w:rPr>
              <w:t>Preserve deterministic</w:t>
              <w:br/>
              <w:t>result</w:t>
            </w:r>
          </w:p>
        </w:tc>
        <w:tc>
          <w:tcPr>
            <w:tcW w:type="dxa" w:w="1411"/>
            <w:vAlign w:val="center"/>
            <w:tcMar>
              <w:top w:w="90" w:type="dxa"/>
              <w:start w:w="110" w:type="dxa"/>
              <w:bottom w:w="90" w:type="dxa"/>
              <w:end w:w="110" w:type="dxa"/>
            </w:tcMar>
            <w:shd w:fill="FFFFFF"/>
          </w:tcPr>
          <w:p>
            <w:pPr>
              <w:spacing w:after="0" w:line="240" w:lineRule="auto"/>
              <w:jc w:val="center"/>
            </w:pPr>
            <w:r/>
            <w:r>
              <w:rPr>
                <w:rFonts w:ascii="Aptos" w:hAnsi="Aptos"/>
                <w:b/>
                <w:color w:val="2E7D7A"/>
                <w:sz w:val="26"/>
              </w:rPr>
              <w:t>→</w:t>
            </w:r>
          </w:p>
        </w:tc>
        <w:tc>
          <w:tcPr>
            <w:tcW w:type="dxa" w:w="1411"/>
            <w:vAlign w:val="center"/>
            <w:tcMar>
              <w:top w:w="90" w:type="dxa"/>
              <w:start w:w="110" w:type="dxa"/>
              <w:bottom w:w="90" w:type="dxa"/>
              <w:end w:w="110" w:type="dxa"/>
            </w:tcMar>
            <w:shd w:fill="1F5F8B"/>
          </w:tcPr>
          <w:p>
            <w:pPr>
              <w:spacing w:after="0" w:line="240" w:lineRule="auto"/>
              <w:jc w:val="center"/>
            </w:pPr>
            <w:r/>
            <w:r>
              <w:rPr>
                <w:rFonts w:ascii="Aptos" w:hAnsi="Aptos"/>
                <w:b/>
                <w:color w:val="FFFFFF"/>
                <w:sz w:val="15"/>
              </w:rPr>
              <w:t>Return deterministic value</w:t>
              <w:br/>
              <w:t>+ sanitized narrative</w:t>
            </w:r>
          </w:p>
        </w:tc>
        <w:tc>
          <w:tcPr>
            <w:tcW w:type="dxa" w:w="1411"/>
            <w:vAlign w:val="center"/>
            <w:tcMar>
              <w:top w:w="90" w:type="dxa"/>
              <w:start w:w="110" w:type="dxa"/>
              <w:bottom w:w="90" w:type="dxa"/>
              <w:end w:w="110" w:type="dxa"/>
            </w:tcMar>
            <w:shd w:fill="FFFFFF"/>
          </w:tcPr>
          <w:p>
            <w:pPr>
              <w:spacing w:after="0" w:line="240" w:lineRule="auto"/>
              <w:jc w:val="center"/>
            </w:pPr>
            <w:r/>
            <w:r>
              <w:rPr>
                <w:rFonts w:ascii="Aptos" w:hAnsi="Aptos"/>
                <w:b/>
                <w:color w:val="2E7D7A"/>
                <w:sz w:val="26"/>
              </w:rPr>
              <w:t>→</w:t>
            </w:r>
          </w:p>
        </w:tc>
        <w:tc>
          <w:tcPr>
            <w:tcW w:type="dxa" w:w="1411"/>
            <w:vAlign w:val="center"/>
            <w:tcMar>
              <w:top w:w="90" w:type="dxa"/>
              <w:start w:w="110" w:type="dxa"/>
              <w:bottom w:w="90" w:type="dxa"/>
              <w:end w:w="110" w:type="dxa"/>
            </w:tcMar>
            <w:shd w:fill="C89B3C"/>
          </w:tcPr>
          <w:p>
            <w:pPr>
              <w:spacing w:after="0" w:line="240" w:lineRule="auto"/>
              <w:jc w:val="center"/>
            </w:pPr>
            <w:r/>
            <w:r>
              <w:rPr>
                <w:rFonts w:ascii="Aptos" w:hAnsi="Aptos"/>
                <w:b/>
                <w:color w:val="FFFFFF"/>
                <w:sz w:val="15"/>
              </w:rPr>
              <w:t>ESCALATED_TO_HUMAN</w:t>
            </w:r>
          </w:p>
        </w:tc>
      </w:tr>
    </w:tbl>
    <w:p>
      <w:pPr>
        <w:pStyle w:val="Caption"/>
        <w:keepNext w:val="0"/>
        <w:jc w:val="center"/>
      </w:pPr>
      <w:r>
        <w:t>Figure 4. Explicit failure path</w:t>
      </w:r>
    </w:p>
    <w:p>
      <w:pPr>
        <w:pStyle w:val="Heading2"/>
        <w:keepNext/>
      </w:pPr>
      <w:r>
        <w:t>3.8 Unified Audit Receipt</w:t>
      </w:r>
    </w:p>
    <w:p>
      <w:pPr>
        <w:widowControl/>
      </w:pPr>
      <w:r>
        <w:t>Regardless of which pathway the transaction follows, the orchestrator normalizes the result into a FinalAuditedTransaction.</w:t>
      </w:r>
    </w:p>
    <w:p>
      <w:pPr>
        <w:widowControl/>
      </w:pPr>
      <w:r>
        <w:t>That receipt currently contains:</w:t>
      </w:r>
    </w:p>
    <w:p>
      <w:pPr>
        <w:pStyle w:val="ListBullet"/>
        <w:spacing w:after="60"/>
        <w:ind w:left="360" w:hanging="230"/>
      </w:pPr>
      <w:r>
        <w:t>Transaction ID</w:t>
      </w:r>
    </w:p>
    <w:p>
      <w:pPr>
        <w:pStyle w:val="ListBullet"/>
        <w:spacing w:after="60"/>
        <w:ind w:left="360" w:hanging="230"/>
      </w:pPr>
      <w:r>
        <w:t>Original value</w:t>
      </w:r>
    </w:p>
    <w:p>
      <w:pPr>
        <w:pStyle w:val="ListBullet"/>
        <w:spacing w:after="60"/>
        <w:ind w:left="360" w:hanging="230"/>
      </w:pPr>
      <w:r>
        <w:t>Final value</w:t>
      </w:r>
    </w:p>
    <w:p>
      <w:pPr>
        <w:pStyle w:val="ListBullet"/>
        <w:spacing w:after="60"/>
        <w:ind w:left="360" w:hanging="230"/>
      </w:pPr>
      <w:r>
        <w:t>Calculated difference</w:t>
      </w:r>
    </w:p>
    <w:p>
      <w:pPr>
        <w:pStyle w:val="ListBullet"/>
        <w:spacing w:after="60"/>
        <w:ind w:left="360" w:hanging="230"/>
      </w:pPr>
      <w:r>
        <w:t>Pipeline pathway</w:t>
      </w:r>
    </w:p>
    <w:p>
      <w:pPr>
        <w:pStyle w:val="ListBullet"/>
        <w:spacing w:after="60"/>
        <w:ind w:left="360" w:hanging="230"/>
      </w:pPr>
      <w:r>
        <w:t>Audit status</w:t>
      </w:r>
    </w:p>
    <w:p>
      <w:pPr>
        <w:pStyle w:val="ListBullet"/>
        <w:spacing w:after="60"/>
        <w:ind w:left="360" w:hanging="230"/>
      </w:pPr>
      <w:r>
        <w:t>Final narrative</w:t>
      </w:r>
    </w:p>
    <w:p>
      <w:pPr>
        <w:pStyle w:val="ListBullet"/>
        <w:spacing w:after="60"/>
        <w:ind w:left="360" w:hanging="230"/>
      </w:pPr>
      <w:r>
        <w:t>Deterministic violation count</w:t>
      </w:r>
    </w:p>
    <w:p>
      <w:pPr>
        <w:pStyle w:val="ListBullet"/>
        <w:spacing w:after="60"/>
        <w:ind w:left="360" w:hanging="230"/>
      </w:pPr>
      <w:r>
        <w:t>AI agent votes, when applicable</w:t>
      </w:r>
    </w:p>
    <w:p>
      <w:pPr>
        <w:widowControl/>
      </w:pPr>
      <w:r>
        <w:t>That common receipt is the handoff between processing and whatever downstream presentation, persistence, or human-review mechanism consumes the result.</w:t>
      </w:r>
    </w:p>
    <w:p>
      <w:pPr>
        <w:pStyle w:val="Heading2"/>
        <w:keepNext/>
      </w:pPr>
      <w:r>
        <w:t>3.9 Current End-to-End Processing Path</w:t>
      </w:r>
    </w:p>
    <w:p>
      <w:pPr>
        <w:widowControl/>
      </w:pPr>
      <w:r>
        <w:t>Raw billing transaction → deterministic compliance engine → deterministic result → early exit if semantic review is unnecessary OR sanitized flagged narrative → three parallel AI agents → deterministic referee → financial finalization → unified audit receipt → human escalation where required.</w:t>
      </w:r>
    </w:p>
    <w:tbl>
      <w:tblPr>
        <w:tblW w:type="auto" w:w="0"/>
        <w:jc w:val="center"/>
        <w:tblLayout w:type="fixed"/>
        <w:tblLook w:firstColumn="1" w:firstRow="1" w:lastColumn="0" w:lastRow="0" w:noHBand="0" w:noVBand="1" w:val="04A0"/>
      </w:tblPr>
      <w:tblGrid>
        <w:gridCol w:w="1344"/>
        <w:gridCol w:w="317"/>
        <w:gridCol w:w="1344"/>
        <w:gridCol w:w="317"/>
        <w:gridCol w:w="1344"/>
        <w:gridCol w:w="317"/>
        <w:gridCol w:w="1344"/>
        <w:gridCol w:w="317"/>
        <w:gridCol w:w="1344"/>
        <w:gridCol w:w="317"/>
        <w:gridCol w:w="1344"/>
      </w:tblGrid>
      <w:tr>
        <w:tc>
          <w:tcPr>
            <w:tcW w:type="dxa" w:w="898"/>
            <w:vAlign w:val="center"/>
            <w:tcMar>
              <w:top w:w="90" w:type="dxa"/>
              <w:start w:w="110" w:type="dxa"/>
              <w:bottom w:w="90" w:type="dxa"/>
              <w:end w:w="110" w:type="dxa"/>
            </w:tcMar>
            <w:shd w:fill="16324F"/>
          </w:tcPr>
          <w:p>
            <w:pPr>
              <w:spacing w:after="0" w:line="240" w:lineRule="auto"/>
              <w:jc w:val="center"/>
            </w:pPr>
            <w:r/>
            <w:r>
              <w:rPr>
                <w:rFonts w:ascii="Aptos" w:hAnsi="Aptos"/>
                <w:b/>
                <w:color w:val="FFFFFF"/>
                <w:sz w:val="15"/>
              </w:rPr>
              <w:t>Raw billing</w:t>
              <w:br/>
              <w:t>transaction</w:t>
            </w:r>
          </w:p>
        </w:tc>
        <w:tc>
          <w:tcPr>
            <w:tcW w:type="dxa" w:w="898"/>
            <w:vAlign w:val="center"/>
            <w:tcMar>
              <w:top w:w="90" w:type="dxa"/>
              <w:start w:w="110" w:type="dxa"/>
              <w:bottom w:w="90" w:type="dxa"/>
              <w:end w:w="110" w:type="dxa"/>
            </w:tcMar>
            <w:shd w:fill="FFFFFF"/>
          </w:tcPr>
          <w:p>
            <w:pPr>
              <w:spacing w:after="0" w:line="240" w:lineRule="auto"/>
              <w:jc w:val="center"/>
            </w:pPr>
            <w:r/>
            <w:r>
              <w:rPr>
                <w:rFonts w:ascii="Aptos" w:hAnsi="Aptos"/>
                <w:b/>
                <w:color w:val="2E7D7A"/>
                <w:sz w:val="26"/>
              </w:rPr>
              <w:t>→</w:t>
            </w:r>
          </w:p>
        </w:tc>
        <w:tc>
          <w:tcPr>
            <w:tcW w:type="dxa" w:w="898"/>
            <w:vAlign w:val="center"/>
            <w:tcMar>
              <w:top w:w="90" w:type="dxa"/>
              <w:start w:w="110" w:type="dxa"/>
              <w:bottom w:w="90" w:type="dxa"/>
              <w:end w:w="110" w:type="dxa"/>
            </w:tcMar>
            <w:shd w:fill="2E7D7A"/>
          </w:tcPr>
          <w:p>
            <w:pPr>
              <w:spacing w:after="0" w:line="240" w:lineRule="auto"/>
              <w:jc w:val="center"/>
            </w:pPr>
            <w:r/>
            <w:r>
              <w:rPr>
                <w:rFonts w:ascii="Aptos" w:hAnsi="Aptos"/>
                <w:b/>
                <w:color w:val="FFFFFF"/>
                <w:sz w:val="15"/>
              </w:rPr>
              <w:t>Deterministic</w:t>
              <w:br/>
              <w:t>engine</w:t>
            </w:r>
          </w:p>
        </w:tc>
        <w:tc>
          <w:tcPr>
            <w:tcW w:type="dxa" w:w="898"/>
            <w:vAlign w:val="center"/>
            <w:tcMar>
              <w:top w:w="90" w:type="dxa"/>
              <w:start w:w="110" w:type="dxa"/>
              <w:bottom w:w="90" w:type="dxa"/>
              <w:end w:w="110" w:type="dxa"/>
            </w:tcMar>
            <w:shd w:fill="FFFFFF"/>
          </w:tcPr>
          <w:p>
            <w:pPr>
              <w:spacing w:after="0" w:line="240" w:lineRule="auto"/>
              <w:jc w:val="center"/>
            </w:pPr>
            <w:r/>
            <w:r>
              <w:rPr>
                <w:rFonts w:ascii="Aptos" w:hAnsi="Aptos"/>
                <w:b/>
                <w:color w:val="2E7D7A"/>
                <w:sz w:val="26"/>
              </w:rPr>
              <w:t>→</w:t>
            </w:r>
          </w:p>
        </w:tc>
        <w:tc>
          <w:tcPr>
            <w:tcW w:type="dxa" w:w="898"/>
            <w:vAlign w:val="center"/>
            <w:tcMar>
              <w:top w:w="90" w:type="dxa"/>
              <w:start w:w="110" w:type="dxa"/>
              <w:bottom w:w="90" w:type="dxa"/>
              <w:end w:w="110" w:type="dxa"/>
            </w:tcMar>
            <w:shd w:fill="2E7D7A"/>
          </w:tcPr>
          <w:p>
            <w:pPr>
              <w:spacing w:after="0" w:line="240" w:lineRule="auto"/>
              <w:jc w:val="center"/>
            </w:pPr>
            <w:r/>
            <w:r>
              <w:rPr>
                <w:rFonts w:ascii="Aptos" w:hAnsi="Aptos"/>
                <w:b/>
                <w:color w:val="FFFFFF"/>
                <w:sz w:val="15"/>
              </w:rPr>
              <w:t>Early exit OR</w:t>
              <w:br/>
              <w:t>flagged narrative</w:t>
            </w:r>
          </w:p>
        </w:tc>
        <w:tc>
          <w:tcPr>
            <w:tcW w:type="dxa" w:w="898"/>
            <w:vAlign w:val="center"/>
            <w:tcMar>
              <w:top w:w="90" w:type="dxa"/>
              <w:start w:w="110" w:type="dxa"/>
              <w:bottom w:w="90" w:type="dxa"/>
              <w:end w:w="110" w:type="dxa"/>
            </w:tcMar>
            <w:shd w:fill="FFFFFF"/>
          </w:tcPr>
          <w:p>
            <w:pPr>
              <w:spacing w:after="0" w:line="240" w:lineRule="auto"/>
              <w:jc w:val="center"/>
            </w:pPr>
            <w:r/>
            <w:r>
              <w:rPr>
                <w:rFonts w:ascii="Aptos" w:hAnsi="Aptos"/>
                <w:b/>
                <w:color w:val="2E7D7A"/>
                <w:sz w:val="26"/>
              </w:rPr>
              <w:t>→</w:t>
            </w:r>
          </w:p>
        </w:tc>
        <w:tc>
          <w:tcPr>
            <w:tcW w:type="dxa" w:w="898"/>
            <w:vAlign w:val="center"/>
            <w:tcMar>
              <w:top w:w="90" w:type="dxa"/>
              <w:start w:w="110" w:type="dxa"/>
              <w:bottom w:w="90" w:type="dxa"/>
              <w:end w:w="110" w:type="dxa"/>
            </w:tcMar>
            <w:shd w:fill="1F5F8B"/>
          </w:tcPr>
          <w:p>
            <w:pPr>
              <w:spacing w:after="0" w:line="240" w:lineRule="auto"/>
              <w:jc w:val="center"/>
            </w:pPr>
            <w:r/>
            <w:r>
              <w:rPr>
                <w:rFonts w:ascii="Aptos" w:hAnsi="Aptos"/>
                <w:b/>
                <w:color w:val="FFFFFF"/>
                <w:sz w:val="15"/>
              </w:rPr>
              <w:t>Three AI</w:t>
              <w:br/>
              <w:t>agents</w:t>
            </w:r>
          </w:p>
        </w:tc>
        <w:tc>
          <w:tcPr>
            <w:tcW w:type="dxa" w:w="898"/>
            <w:vAlign w:val="center"/>
            <w:tcMar>
              <w:top w:w="90" w:type="dxa"/>
              <w:start w:w="110" w:type="dxa"/>
              <w:bottom w:w="90" w:type="dxa"/>
              <w:end w:w="110" w:type="dxa"/>
            </w:tcMar>
            <w:shd w:fill="FFFFFF"/>
          </w:tcPr>
          <w:p>
            <w:pPr>
              <w:spacing w:after="0" w:line="240" w:lineRule="auto"/>
              <w:jc w:val="center"/>
            </w:pPr>
            <w:r/>
            <w:r>
              <w:rPr>
                <w:rFonts w:ascii="Aptos" w:hAnsi="Aptos"/>
                <w:b/>
                <w:color w:val="2E7D7A"/>
                <w:sz w:val="26"/>
              </w:rPr>
              <w:t>→</w:t>
            </w:r>
          </w:p>
        </w:tc>
        <w:tc>
          <w:tcPr>
            <w:tcW w:type="dxa" w:w="898"/>
            <w:vAlign w:val="center"/>
            <w:tcMar>
              <w:top w:w="90" w:type="dxa"/>
              <w:start w:w="110" w:type="dxa"/>
              <w:bottom w:w="90" w:type="dxa"/>
              <w:end w:w="110" w:type="dxa"/>
            </w:tcMar>
            <w:shd w:fill="1F5F8B"/>
          </w:tcPr>
          <w:p>
            <w:pPr>
              <w:spacing w:after="0" w:line="240" w:lineRule="auto"/>
              <w:jc w:val="center"/>
            </w:pPr>
            <w:r/>
            <w:r>
              <w:rPr>
                <w:rFonts w:ascii="Aptos" w:hAnsi="Aptos"/>
                <w:b/>
                <w:color w:val="FFFFFF"/>
                <w:sz w:val="15"/>
              </w:rPr>
              <w:t>Deterministic</w:t>
              <w:br/>
              <w:t>referee</w:t>
            </w:r>
          </w:p>
        </w:tc>
        <w:tc>
          <w:tcPr>
            <w:tcW w:type="dxa" w:w="898"/>
            <w:vAlign w:val="center"/>
            <w:tcMar>
              <w:top w:w="90" w:type="dxa"/>
              <w:start w:w="110" w:type="dxa"/>
              <w:bottom w:w="90" w:type="dxa"/>
              <w:end w:w="110" w:type="dxa"/>
            </w:tcMar>
            <w:shd w:fill="FFFFFF"/>
          </w:tcPr>
          <w:p>
            <w:pPr>
              <w:spacing w:after="0" w:line="240" w:lineRule="auto"/>
              <w:jc w:val="center"/>
            </w:pPr>
            <w:r/>
            <w:r>
              <w:rPr>
                <w:rFonts w:ascii="Aptos" w:hAnsi="Aptos"/>
                <w:b/>
                <w:color w:val="2E7D7A"/>
                <w:sz w:val="26"/>
              </w:rPr>
              <w:t>→</w:t>
            </w:r>
          </w:p>
        </w:tc>
        <w:tc>
          <w:tcPr>
            <w:tcW w:type="dxa" w:w="898"/>
            <w:vAlign w:val="center"/>
            <w:tcMar>
              <w:top w:w="90" w:type="dxa"/>
              <w:start w:w="110" w:type="dxa"/>
              <w:bottom w:w="90" w:type="dxa"/>
              <w:end w:w="110" w:type="dxa"/>
            </w:tcMar>
            <w:shd w:fill="C89B3C"/>
          </w:tcPr>
          <w:p>
            <w:pPr>
              <w:spacing w:after="0" w:line="240" w:lineRule="auto"/>
              <w:jc w:val="center"/>
            </w:pPr>
            <w:r/>
            <w:r>
              <w:rPr>
                <w:rFonts w:ascii="Aptos" w:hAnsi="Aptos"/>
                <w:b/>
                <w:color w:val="FFFFFF"/>
                <w:sz w:val="15"/>
              </w:rPr>
              <w:t>Finalization +</w:t>
              <w:br/>
              <w:t>audit receipt</w:t>
            </w:r>
          </w:p>
        </w:tc>
      </w:tr>
    </w:tbl>
    <w:p>
      <w:pPr>
        <w:pStyle w:val="Caption"/>
        <w:keepNext w:val="0"/>
        <w:jc w:val="center"/>
      </w:pPr>
      <w:r>
        <w:t>Figure 5. Current end-to-end processing path</w:t>
      </w:r>
    </w:p>
    <w:p>
      <w:pPr>
        <w:widowControl/>
      </w:pPr>
      <w:r>
        <w:t>That is what the current DRE documents actually describe.</w:t>
      </w:r>
    </w:p>
    <w:p>
      <w:r>
        <w:br w:type="page"/>
      </w:r>
    </w:p>
    <w:p>
      <w:pPr>
        <w:pStyle w:val="Heading1"/>
        <w:keepNext/>
      </w:pPr>
      <w:r>
        <w:t>4. Product Architecture</w:t>
      </w:r>
    </w:p>
    <w:p>
      <w:pPr>
        <w:pStyle w:val="Lead"/>
        <w:widowControl/>
      </w:pPr>
      <w:r>
        <w:t>DRE is structured as a two-tier transaction-processing system: deterministic compliance processing first, interpretive AI processing only when required, followed by deterministic routing into a common transaction result.</w:t>
      </w:r>
    </w:p>
    <w:p>
      <w:pPr>
        <w:pStyle w:val="Heading2"/>
        <w:keepNext/>
      </w:pPr>
      <w:r>
        <w:t>4.1 Deterministic Compliance Engine</w:t>
      </w:r>
    </w:p>
    <w:p>
      <w:pPr>
        <w:widowControl/>
      </w:pPr>
      <w:r>
        <w:t>The DeterministicComplianceEngine is the first processing boundary.</w:t>
      </w:r>
    </w:p>
    <w:p>
      <w:pPr>
        <w:widowControl/>
      </w:pPr>
      <w:r>
        <w:t>It accepts a RawBillingPayload, applies explicit compliance rules, adjusts deterministic values where required, identifies violations, sanitizes the narrative, and determines whether semantic AI review is necessary.</w:t>
      </w:r>
    </w:p>
    <w:p>
      <w:pPr>
        <w:widowControl/>
      </w:pPr>
      <w:r>
        <w:t>Its output is a typed ProcessedOutput, giving the rest of the system a predictable contract rather than unstructured analysis.</w:t>
      </w:r>
    </w:p>
    <w:p>
      <w:pPr>
        <w:pStyle w:val="Heading2"/>
        <w:keepNext/>
      </w:pPr>
      <w:r>
        <w:t>4.2 Transaction Orchestrator</w:t>
      </w:r>
    </w:p>
    <w:p>
      <w:pPr>
        <w:widowControl/>
      </w:pPr>
      <w:r>
        <w:t>TransactionOrchestrator coordinates the complete processing path.</w:t>
      </w:r>
    </w:p>
    <w:p>
      <w:pPr>
        <w:widowControl/>
      </w:pPr>
      <w:r>
        <w:t>It:</w:t>
      </w:r>
    </w:p>
    <w:p>
      <w:pPr>
        <w:pStyle w:val="ListBullet"/>
        <w:spacing w:after="60"/>
        <w:ind w:left="360" w:hanging="230"/>
      </w:pPr>
      <w:r>
        <w:t>Instantiates the deterministic engine and consensus wrapper</w:t>
      </w:r>
    </w:p>
    <w:p>
      <w:pPr>
        <w:pStyle w:val="ListBullet"/>
        <w:spacing w:after="60"/>
        <w:ind w:left="360" w:hanging="230"/>
      </w:pPr>
      <w:r>
        <w:t>Sends every transaction through deterministic evaluation</w:t>
      </w:r>
    </w:p>
    <w:p>
      <w:pPr>
        <w:pStyle w:val="ListBullet"/>
        <w:spacing w:after="60"/>
        <w:ind w:left="360" w:hanging="230"/>
      </w:pPr>
      <w:r>
        <w:t>Performs the early-exit decision</w:t>
      </w:r>
    </w:p>
    <w:p>
      <w:pPr>
        <w:pStyle w:val="ListBullet"/>
        <w:spacing w:after="60"/>
        <w:ind w:left="360" w:hanging="230"/>
      </w:pPr>
      <w:r>
        <w:t>Calls consensus only when required</w:t>
      </w:r>
    </w:p>
    <w:p>
      <w:pPr>
        <w:pStyle w:val="ListBullet"/>
        <w:spacing w:after="60"/>
        <w:ind w:left="360" w:hanging="230"/>
      </w:pPr>
      <w:r>
        <w:t>Finalizes calculated financial values</w:t>
      </w:r>
    </w:p>
    <w:p>
      <w:pPr>
        <w:pStyle w:val="ListBullet"/>
        <w:spacing w:after="60"/>
        <w:ind w:left="360" w:hanging="230"/>
      </w:pPr>
      <w:r>
        <w:t>Packages the result into a common audit receipt</w:t>
      </w:r>
    </w:p>
    <w:p>
      <w:pPr>
        <w:pStyle w:val="ListBullet"/>
        <w:spacing w:after="60"/>
        <w:ind w:left="360" w:hanging="230"/>
      </w:pPr>
      <w:r>
        <w:t>Preserves deterministic work if the AI layer fails</w:t>
      </w:r>
    </w:p>
    <w:p>
      <w:pPr>
        <w:widowControl/>
      </w:pPr>
      <w:r>
        <w:t>The orchestrator is therefore the integration layer connecting DRE’s deterministic and interpretive components.</w:t>
      </w:r>
    </w:p>
    <w:p>
      <w:pPr>
        <w:pStyle w:val="Heading2"/>
        <w:keepNext/>
      </w:pPr>
      <w:r>
        <w:t>4.3 AI Consensus Wrapper</w:t>
      </w:r>
    </w:p>
    <w:p>
      <w:pPr>
        <w:widowControl/>
      </w:pPr>
      <w:r>
        <w:t>AzureAiConsensusWrapper is an isolated exception-review component.</w:t>
      </w:r>
    </w:p>
    <w:p>
      <w:pPr>
        <w:widowControl/>
      </w:pPr>
      <w:r>
        <w:t>It receives the sanitized transaction context from the deterministic layer and executes three differentiated Azure OpenAI evaluations in parallel.</w:t>
      </w:r>
    </w:p>
    <w:p>
      <w:pPr>
        <w:widowControl/>
      </w:pPr>
      <w:r>
        <w:t>The current implementation uses three roles:</w:t>
      </w:r>
    </w:p>
    <w:p>
      <w:pPr>
        <w:pStyle w:val="ListBullet"/>
        <w:spacing w:after="60"/>
        <w:ind w:left="360" w:hanging="230"/>
      </w:pPr>
      <w:r>
        <w:t>Schema Validator</w:t>
      </w:r>
    </w:p>
    <w:p>
      <w:pPr>
        <w:pStyle w:val="ListBullet"/>
        <w:spacing w:after="60"/>
        <w:ind w:left="360" w:hanging="230"/>
      </w:pPr>
      <w:r>
        <w:t>Domain Expert</w:t>
      </w:r>
    </w:p>
    <w:p>
      <w:pPr>
        <w:pStyle w:val="ListBullet"/>
        <w:spacing w:after="60"/>
        <w:ind w:left="360" w:hanging="230"/>
      </w:pPr>
      <w:r>
        <w:t>Anomaly Detector</w:t>
      </w:r>
    </w:p>
    <w:p>
      <w:pPr>
        <w:widowControl/>
      </w:pPr>
      <w:r>
        <w:t>Each returns a typed AgentVote containing the vote, confidence score, extracted intent, and reasoning.</w:t>
      </w:r>
    </w:p>
    <w:p>
      <w:pPr>
        <w:pStyle w:val="Heading2"/>
        <w:keepNext/>
      </w:pPr>
      <w:r>
        <w:t>4.4 Deterministic Referee</w:t>
      </w:r>
    </w:p>
    <w:p>
      <w:pPr>
        <w:widowControl/>
      </w:pPr>
      <w:r>
        <w:t>The consensus wrapper separates model interpretation from system routing.</w:t>
      </w:r>
    </w:p>
    <w:p>
      <w:pPr>
        <w:widowControl/>
      </w:pPr>
      <w:r>
        <w:t>After the three agents return, TypeScript counts their votes and applies explicit thresholds to determine the next action:</w:t>
      </w:r>
    </w:p>
    <w:p>
      <w:pPr>
        <w:pStyle w:val="ListBullet"/>
        <w:spacing w:after="60"/>
        <w:ind w:left="360" w:hanging="230"/>
      </w:pPr>
      <w:r>
        <w:t>COMMIT_TO_DATABASE</w:t>
      </w:r>
    </w:p>
    <w:p>
      <w:pPr>
        <w:pStyle w:val="ListBullet"/>
        <w:spacing w:after="60"/>
        <w:ind w:left="360" w:hanging="230"/>
      </w:pPr>
      <w:r>
        <w:t>RECONSTRUCT_AND_SPLIT</w:t>
      </w:r>
    </w:p>
    <w:p>
      <w:pPr>
        <w:pStyle w:val="ListBullet"/>
        <w:spacing w:after="60"/>
        <w:ind w:left="360" w:hanging="230"/>
      </w:pPr>
      <w:r>
        <w:t>HARD_REJECT</w:t>
      </w:r>
    </w:p>
    <w:p>
      <w:pPr>
        <w:pStyle w:val="ListBullet"/>
        <w:spacing w:after="60"/>
        <w:ind w:left="360" w:hanging="230"/>
      </w:pPr>
      <w:r>
        <w:t>Human escalation safe state</w:t>
      </w:r>
    </w:p>
    <w:p>
      <w:pPr>
        <w:widowControl/>
      </w:pPr>
      <w:r>
        <w:t>The models supply interpretive evidence; deterministic code selects the system action from their structured responses.</w:t>
      </w:r>
    </w:p>
    <w:tbl>
      <w:tblPr>
        <w:tblW w:type="auto" w:w="0"/>
        <w:jc w:val="center"/>
        <w:tblLayout w:type="fixed"/>
        <w:tblLook w:firstColumn="1" w:firstRow="1" w:lastColumn="0" w:lastRow="0" w:noHBand="0" w:noVBand="1" w:val="04A0"/>
      </w:tblPr>
      <w:tblGrid>
        <w:gridCol w:w="1344"/>
        <w:gridCol w:w="317"/>
        <w:gridCol w:w="1344"/>
        <w:gridCol w:w="317"/>
        <w:gridCol w:w="1344"/>
        <w:gridCol w:w="317"/>
        <w:gridCol w:w="1344"/>
        <w:gridCol w:w="317"/>
        <w:gridCol w:w="1344"/>
        <w:gridCol w:w="317"/>
        <w:gridCol w:w="1344"/>
      </w:tblGrid>
      <w:tr>
        <w:tc>
          <w:tcPr>
            <w:tcW w:type="dxa" w:w="898"/>
            <w:vAlign w:val="center"/>
            <w:tcMar>
              <w:top w:w="90" w:type="dxa"/>
              <w:start w:w="110" w:type="dxa"/>
              <w:bottom w:w="90" w:type="dxa"/>
              <w:end w:w="110" w:type="dxa"/>
            </w:tcMar>
            <w:shd w:fill="16324F"/>
          </w:tcPr>
          <w:p>
            <w:pPr>
              <w:spacing w:after="0" w:line="240" w:lineRule="auto"/>
              <w:jc w:val="center"/>
            </w:pPr>
            <w:r/>
            <w:r>
              <w:rPr>
                <w:rFonts w:ascii="Aptos" w:hAnsi="Aptos"/>
                <w:b/>
                <w:color w:val="FFFFFF"/>
                <w:sz w:val="15"/>
              </w:rPr>
              <w:t>RawBillingPayload</w:t>
            </w:r>
          </w:p>
        </w:tc>
        <w:tc>
          <w:tcPr>
            <w:tcW w:type="dxa" w:w="898"/>
            <w:vAlign w:val="center"/>
            <w:tcMar>
              <w:top w:w="90" w:type="dxa"/>
              <w:start w:w="110" w:type="dxa"/>
              <w:bottom w:w="90" w:type="dxa"/>
              <w:end w:w="110" w:type="dxa"/>
            </w:tcMar>
            <w:shd w:fill="FFFFFF"/>
          </w:tcPr>
          <w:p>
            <w:pPr>
              <w:spacing w:after="0" w:line="240" w:lineRule="auto"/>
              <w:jc w:val="center"/>
            </w:pPr>
            <w:r/>
            <w:r>
              <w:rPr>
                <w:rFonts w:ascii="Aptos" w:hAnsi="Aptos"/>
                <w:b/>
                <w:color w:val="2E7D7A"/>
                <w:sz w:val="26"/>
              </w:rPr>
              <w:t>→</w:t>
            </w:r>
          </w:p>
        </w:tc>
        <w:tc>
          <w:tcPr>
            <w:tcW w:type="dxa" w:w="898"/>
            <w:vAlign w:val="center"/>
            <w:tcMar>
              <w:top w:w="90" w:type="dxa"/>
              <w:start w:w="110" w:type="dxa"/>
              <w:bottom w:w="90" w:type="dxa"/>
              <w:end w:w="110" w:type="dxa"/>
            </w:tcMar>
            <w:shd w:fill="2E7D7A"/>
          </w:tcPr>
          <w:p>
            <w:pPr>
              <w:spacing w:after="0" w:line="240" w:lineRule="auto"/>
              <w:jc w:val="center"/>
            </w:pPr>
            <w:r/>
            <w:r>
              <w:rPr>
                <w:rFonts w:ascii="Aptos" w:hAnsi="Aptos"/>
                <w:b/>
                <w:color w:val="FFFFFF"/>
                <w:sz w:val="15"/>
              </w:rPr>
              <w:t>DeterministicComplianceEngine</w:t>
            </w:r>
          </w:p>
        </w:tc>
        <w:tc>
          <w:tcPr>
            <w:tcW w:type="dxa" w:w="898"/>
            <w:vAlign w:val="center"/>
            <w:tcMar>
              <w:top w:w="90" w:type="dxa"/>
              <w:start w:w="110" w:type="dxa"/>
              <w:bottom w:w="90" w:type="dxa"/>
              <w:end w:w="110" w:type="dxa"/>
            </w:tcMar>
            <w:shd w:fill="FFFFFF"/>
          </w:tcPr>
          <w:p>
            <w:pPr>
              <w:spacing w:after="0" w:line="240" w:lineRule="auto"/>
              <w:jc w:val="center"/>
            </w:pPr>
            <w:r/>
            <w:r>
              <w:rPr>
                <w:rFonts w:ascii="Aptos" w:hAnsi="Aptos"/>
                <w:b/>
                <w:color w:val="2E7D7A"/>
                <w:sz w:val="26"/>
              </w:rPr>
              <w:t>→</w:t>
            </w:r>
          </w:p>
        </w:tc>
        <w:tc>
          <w:tcPr>
            <w:tcW w:type="dxa" w:w="898"/>
            <w:vAlign w:val="center"/>
            <w:tcMar>
              <w:top w:w="90" w:type="dxa"/>
              <w:start w:w="110" w:type="dxa"/>
              <w:bottom w:w="90" w:type="dxa"/>
              <w:end w:w="110" w:type="dxa"/>
            </w:tcMar>
            <w:shd w:fill="2E7D7A"/>
          </w:tcPr>
          <w:p>
            <w:pPr>
              <w:spacing w:after="0" w:line="240" w:lineRule="auto"/>
              <w:jc w:val="center"/>
            </w:pPr>
            <w:r/>
            <w:r>
              <w:rPr>
                <w:rFonts w:ascii="Aptos" w:hAnsi="Aptos"/>
                <w:b/>
                <w:color w:val="FFFFFF"/>
                <w:sz w:val="15"/>
              </w:rPr>
              <w:t>ProcessedOutput</w:t>
            </w:r>
          </w:p>
        </w:tc>
        <w:tc>
          <w:tcPr>
            <w:tcW w:type="dxa" w:w="898"/>
            <w:vAlign w:val="center"/>
            <w:tcMar>
              <w:top w:w="90" w:type="dxa"/>
              <w:start w:w="110" w:type="dxa"/>
              <w:bottom w:w="90" w:type="dxa"/>
              <w:end w:w="110" w:type="dxa"/>
            </w:tcMar>
            <w:shd w:fill="FFFFFF"/>
          </w:tcPr>
          <w:p>
            <w:pPr>
              <w:spacing w:after="0" w:line="240" w:lineRule="auto"/>
              <w:jc w:val="center"/>
            </w:pPr>
            <w:r/>
            <w:r>
              <w:rPr>
                <w:rFonts w:ascii="Aptos" w:hAnsi="Aptos"/>
                <w:b/>
                <w:color w:val="2E7D7A"/>
                <w:sz w:val="26"/>
              </w:rPr>
              <w:t>→</w:t>
            </w:r>
          </w:p>
        </w:tc>
        <w:tc>
          <w:tcPr>
            <w:tcW w:type="dxa" w:w="898"/>
            <w:vAlign w:val="center"/>
            <w:tcMar>
              <w:top w:w="90" w:type="dxa"/>
              <w:start w:w="110" w:type="dxa"/>
              <w:bottom w:w="90" w:type="dxa"/>
              <w:end w:w="110" w:type="dxa"/>
            </w:tcMar>
            <w:shd w:fill="1F5F8B"/>
          </w:tcPr>
          <w:p>
            <w:pPr>
              <w:spacing w:after="0" w:line="240" w:lineRule="auto"/>
              <w:jc w:val="center"/>
            </w:pPr>
            <w:r/>
            <w:r>
              <w:rPr>
                <w:rFonts w:ascii="Aptos" w:hAnsi="Aptos"/>
                <w:b/>
                <w:color w:val="FFFFFF"/>
                <w:sz w:val="15"/>
              </w:rPr>
              <w:t>AzureAiConsensusWrapper</w:t>
              <w:br/>
              <w:t>when required</w:t>
            </w:r>
          </w:p>
        </w:tc>
        <w:tc>
          <w:tcPr>
            <w:tcW w:type="dxa" w:w="898"/>
            <w:vAlign w:val="center"/>
            <w:tcMar>
              <w:top w:w="90" w:type="dxa"/>
              <w:start w:w="110" w:type="dxa"/>
              <w:bottom w:w="90" w:type="dxa"/>
              <w:end w:w="110" w:type="dxa"/>
            </w:tcMar>
            <w:shd w:fill="FFFFFF"/>
          </w:tcPr>
          <w:p>
            <w:pPr>
              <w:spacing w:after="0" w:line="240" w:lineRule="auto"/>
              <w:jc w:val="center"/>
            </w:pPr>
            <w:r/>
            <w:r>
              <w:rPr>
                <w:rFonts w:ascii="Aptos" w:hAnsi="Aptos"/>
                <w:b/>
                <w:color w:val="2E7D7A"/>
                <w:sz w:val="26"/>
              </w:rPr>
              <w:t>→</w:t>
            </w:r>
          </w:p>
        </w:tc>
        <w:tc>
          <w:tcPr>
            <w:tcW w:type="dxa" w:w="898"/>
            <w:vAlign w:val="center"/>
            <w:tcMar>
              <w:top w:w="90" w:type="dxa"/>
              <w:start w:w="110" w:type="dxa"/>
              <w:bottom w:w="90" w:type="dxa"/>
              <w:end w:w="110" w:type="dxa"/>
            </w:tcMar>
            <w:shd w:fill="1F5F8B"/>
          </w:tcPr>
          <w:p>
            <w:pPr>
              <w:spacing w:after="0" w:line="240" w:lineRule="auto"/>
              <w:jc w:val="center"/>
            </w:pPr>
            <w:r/>
            <w:r>
              <w:rPr>
                <w:rFonts w:ascii="Aptos" w:hAnsi="Aptos"/>
                <w:b/>
                <w:color w:val="FFFFFF"/>
                <w:sz w:val="15"/>
              </w:rPr>
              <w:t>TypeScript referee</w:t>
            </w:r>
          </w:p>
        </w:tc>
        <w:tc>
          <w:tcPr>
            <w:tcW w:type="dxa" w:w="898"/>
            <w:vAlign w:val="center"/>
            <w:tcMar>
              <w:top w:w="90" w:type="dxa"/>
              <w:start w:w="110" w:type="dxa"/>
              <w:bottom w:w="90" w:type="dxa"/>
              <w:end w:w="110" w:type="dxa"/>
            </w:tcMar>
            <w:shd w:fill="FFFFFF"/>
          </w:tcPr>
          <w:p>
            <w:pPr>
              <w:spacing w:after="0" w:line="240" w:lineRule="auto"/>
              <w:jc w:val="center"/>
            </w:pPr>
            <w:r/>
            <w:r>
              <w:rPr>
                <w:rFonts w:ascii="Aptos" w:hAnsi="Aptos"/>
                <w:b/>
                <w:color w:val="2E7D7A"/>
                <w:sz w:val="26"/>
              </w:rPr>
              <w:t>→</w:t>
            </w:r>
          </w:p>
        </w:tc>
        <w:tc>
          <w:tcPr>
            <w:tcW w:type="dxa" w:w="898"/>
            <w:vAlign w:val="center"/>
            <w:tcMar>
              <w:top w:w="90" w:type="dxa"/>
              <w:start w:w="110" w:type="dxa"/>
              <w:bottom w:w="90" w:type="dxa"/>
              <w:end w:w="110" w:type="dxa"/>
            </w:tcMar>
            <w:shd w:fill="C89B3C"/>
          </w:tcPr>
          <w:p>
            <w:pPr>
              <w:spacing w:after="0" w:line="240" w:lineRule="auto"/>
              <w:jc w:val="center"/>
            </w:pPr>
            <w:r/>
            <w:r>
              <w:rPr>
                <w:rFonts w:ascii="Aptos" w:hAnsi="Aptos"/>
                <w:b/>
                <w:color w:val="FFFFFF"/>
                <w:sz w:val="15"/>
              </w:rPr>
              <w:t>FinalAuditedTransaction</w:t>
            </w:r>
          </w:p>
        </w:tc>
      </w:tr>
    </w:tbl>
    <w:p>
      <w:pPr>
        <w:pStyle w:val="Caption"/>
        <w:keepNext w:val="0"/>
        <w:jc w:val="center"/>
      </w:pPr>
      <w:r>
        <w:t>Figure 6. Current component architecture</w:t>
      </w:r>
    </w:p>
    <w:p>
      <w:pPr>
        <w:pStyle w:val="Heading2"/>
        <w:keepNext/>
      </w:pPr>
      <w:r>
        <w:t>4.5 Transaction States and Pathways</w:t>
      </w:r>
    </w:p>
    <w:p>
      <w:pPr>
        <w:widowControl/>
      </w:pPr>
      <w:r>
        <w:t>The current architecture distinguishes two primary processing pathways:</w:t>
      </w:r>
    </w:p>
    <w:p>
      <w:pPr>
        <w:pStyle w:val="ListBullet"/>
        <w:spacing w:after="60"/>
        <w:ind w:left="360" w:hanging="230"/>
      </w:pPr>
      <w:r>
        <w:t>DETERMINISTIC_ONLY</w:t>
      </w:r>
    </w:p>
    <w:p>
      <w:pPr>
        <w:pStyle w:val="ListBullet"/>
        <w:spacing w:after="60"/>
        <w:ind w:left="360" w:hanging="230"/>
      </w:pPr>
      <w:r>
        <w:t>DETERMINISTIC_AND_AI_CONSENSUS</w:t>
      </w:r>
    </w:p>
    <w:p>
      <w:pPr>
        <w:widowControl/>
      </w:pPr>
      <w:r>
        <w:t>The current audit-status vocabulary includes:</w:t>
      </w:r>
    </w:p>
    <w:p>
      <w:pPr>
        <w:pStyle w:val="ListBullet"/>
        <w:spacing w:after="60"/>
        <w:ind w:left="360" w:hanging="230"/>
      </w:pPr>
      <w:r>
        <w:t>APPROVED</w:t>
      </w:r>
    </w:p>
    <w:p>
      <w:pPr>
        <w:pStyle w:val="ListBullet"/>
        <w:spacing w:after="60"/>
        <w:ind w:left="360" w:hanging="230"/>
      </w:pPr>
      <w:r>
        <w:t>MODIFIED_BY_CONSENSUS</w:t>
      </w:r>
    </w:p>
    <w:p>
      <w:pPr>
        <w:pStyle w:val="ListBullet"/>
        <w:spacing w:after="60"/>
        <w:ind w:left="360" w:hanging="230"/>
      </w:pPr>
      <w:r>
        <w:t>REJECTED</w:t>
      </w:r>
    </w:p>
    <w:p>
      <w:pPr>
        <w:pStyle w:val="ListBullet"/>
        <w:spacing w:after="60"/>
        <w:ind w:left="360" w:hanging="230"/>
      </w:pPr>
      <w:r>
        <w:t>ESCALATED_TO_HUMAN</w:t>
      </w:r>
    </w:p>
    <w:tbl>
      <w:tblPr>
        <w:tblStyle w:val="TableGrid"/>
        <w:tblW w:type="auto" w:w="0"/>
        <w:jc w:val="center"/>
        <w:tblLayout w:type="fixed"/>
        <w:tblLook w:firstColumn="1" w:firstRow="1" w:lastColumn="0" w:lastRow="0" w:noHBand="0" w:noVBand="1" w:val="04A0"/>
      </w:tblPr>
      <w:tblGrid>
        <w:gridCol w:w="4824"/>
        <w:gridCol w:w="4824"/>
      </w:tblGrid>
      <w:tr>
        <w:trPr>
          <w:tblHeader w:val="true"/>
        </w:trPr>
        <w:tc>
          <w:tcPr>
            <w:tcW w:type="dxa" w:w="4939"/>
            <w:vAlign w:val="center"/>
            <w:tcMar>
              <w:top w:w="90" w:type="dxa"/>
              <w:start w:w="110" w:type="dxa"/>
              <w:bottom w:w="90" w:type="dxa"/>
              <w:end w:w="110" w:type="dxa"/>
            </w:tcMar>
            <w:shd w:fill="16324F"/>
          </w:tcPr>
          <w:p>
            <w:pPr>
              <w:spacing w:after="0" w:line="240" w:lineRule="auto"/>
              <w:jc w:val="left"/>
            </w:pPr>
            <w:r/>
            <w:r>
              <w:rPr>
                <w:rFonts w:ascii="Aptos" w:hAnsi="Aptos"/>
                <w:b/>
                <w:color w:val="FFFFFF"/>
                <w:sz w:val="16"/>
              </w:rPr>
              <w:t>Primary processing pathways</w:t>
            </w:r>
          </w:p>
        </w:tc>
        <w:tc>
          <w:tcPr>
            <w:tcW w:type="dxa" w:w="4939"/>
            <w:vAlign w:val="center"/>
            <w:tcMar>
              <w:top w:w="90" w:type="dxa"/>
              <w:start w:w="110" w:type="dxa"/>
              <w:bottom w:w="90" w:type="dxa"/>
              <w:end w:w="110" w:type="dxa"/>
            </w:tcMar>
            <w:shd w:fill="16324F"/>
          </w:tcPr>
          <w:p>
            <w:pPr>
              <w:spacing w:after="0" w:line="240" w:lineRule="auto"/>
              <w:jc w:val="left"/>
            </w:pPr>
            <w:r/>
            <w:r>
              <w:rPr>
                <w:rFonts w:ascii="Aptos" w:hAnsi="Aptos"/>
                <w:b/>
                <w:color w:val="FFFFFF"/>
                <w:sz w:val="16"/>
              </w:rPr>
              <w:t>Current audit-status vocabulary</w:t>
            </w:r>
          </w:p>
        </w:tc>
      </w:tr>
      <w:tr>
        <w:trPr>
          <w:cantSplit/>
        </w:trPr>
        <w:tc>
          <w:tcPr>
            <w:tcW w:type="dxa" w:w="4824"/>
            <w:vAlign w:val="center"/>
            <w:tcMar>
              <w:top w:w="90" w:type="dxa"/>
              <w:start w:w="110" w:type="dxa"/>
              <w:bottom w:w="90" w:type="dxa"/>
              <w:end w:w="110" w:type="dxa"/>
            </w:tcMar>
            <w:shd w:fill="FFFFFF"/>
          </w:tcPr>
          <w:p>
            <w:pPr>
              <w:spacing w:after="0" w:line="240" w:lineRule="auto"/>
              <w:jc w:val="left"/>
            </w:pPr>
            <w:r/>
            <w:r>
              <w:rPr>
                <w:rFonts w:ascii="Aptos" w:hAnsi="Aptos"/>
                <w:b w:val="0"/>
                <w:color w:val="24313C"/>
                <w:sz w:val="17"/>
              </w:rPr>
              <w:t>DETERMINISTIC_ONLY</w:t>
            </w:r>
          </w:p>
        </w:tc>
        <w:tc>
          <w:tcPr>
            <w:tcW w:type="dxa" w:w="4824"/>
            <w:vAlign w:val="center"/>
            <w:tcMar>
              <w:top w:w="90" w:type="dxa"/>
              <w:start w:w="110" w:type="dxa"/>
              <w:bottom w:w="90" w:type="dxa"/>
              <w:end w:w="110" w:type="dxa"/>
            </w:tcMar>
            <w:shd w:fill="FFFFFF"/>
          </w:tcPr>
          <w:p>
            <w:pPr>
              <w:spacing w:after="0" w:line="240" w:lineRule="auto"/>
              <w:jc w:val="left"/>
            </w:pPr>
            <w:r/>
            <w:r>
              <w:rPr>
                <w:rFonts w:ascii="Aptos" w:hAnsi="Aptos"/>
                <w:b w:val="0"/>
                <w:color w:val="24313C"/>
                <w:sz w:val="17"/>
              </w:rPr>
              <w:t>APPROVED</w:t>
            </w:r>
          </w:p>
        </w:tc>
      </w:tr>
      <w:tr>
        <w:trPr>
          <w:cantSplit/>
        </w:trPr>
        <w:tc>
          <w:tcPr>
            <w:tcW w:type="dxa" w:w="4824"/>
            <w:vAlign w:val="center"/>
            <w:tcMar>
              <w:top w:w="90" w:type="dxa"/>
              <w:start w:w="110" w:type="dxa"/>
              <w:bottom w:w="90" w:type="dxa"/>
              <w:end w:w="110" w:type="dxa"/>
            </w:tcMar>
            <w:shd w:fill="F4F7F9"/>
          </w:tcPr>
          <w:p>
            <w:pPr>
              <w:spacing w:after="0" w:line="240" w:lineRule="auto"/>
              <w:jc w:val="left"/>
            </w:pPr>
            <w:r/>
            <w:r>
              <w:rPr>
                <w:rFonts w:ascii="Aptos" w:hAnsi="Aptos"/>
                <w:b w:val="0"/>
                <w:color w:val="24313C"/>
                <w:sz w:val="17"/>
              </w:rPr>
              <w:t>DETERMINISTIC_AND_AI_CONSENSUS</w:t>
            </w:r>
          </w:p>
        </w:tc>
        <w:tc>
          <w:tcPr>
            <w:tcW w:type="dxa" w:w="4824"/>
            <w:vAlign w:val="center"/>
            <w:tcMar>
              <w:top w:w="90" w:type="dxa"/>
              <w:start w:w="110" w:type="dxa"/>
              <w:bottom w:w="90" w:type="dxa"/>
              <w:end w:w="110" w:type="dxa"/>
            </w:tcMar>
            <w:shd w:fill="F4F7F9"/>
          </w:tcPr>
          <w:p>
            <w:pPr>
              <w:spacing w:after="0" w:line="240" w:lineRule="auto"/>
              <w:jc w:val="left"/>
            </w:pPr>
            <w:r/>
            <w:r>
              <w:rPr>
                <w:rFonts w:ascii="Aptos" w:hAnsi="Aptos"/>
                <w:b w:val="0"/>
                <w:color w:val="24313C"/>
                <w:sz w:val="17"/>
              </w:rPr>
              <w:t>MODIFIED_BY_CONSENSUS</w:t>
            </w:r>
          </w:p>
        </w:tc>
      </w:tr>
      <w:tr>
        <w:trPr>
          <w:cantSplit/>
        </w:trPr>
        <w:tc>
          <w:tcPr>
            <w:tcW w:type="dxa" w:w="4824"/>
            <w:vAlign w:val="center"/>
            <w:tcMar>
              <w:top w:w="90" w:type="dxa"/>
              <w:start w:w="110" w:type="dxa"/>
              <w:bottom w:w="90" w:type="dxa"/>
              <w:end w:w="110" w:type="dxa"/>
            </w:tcMar>
            <w:shd w:fill="FFFFFF"/>
          </w:tcPr>
          <w:p>
            <w:pPr>
              <w:spacing w:after="0" w:line="240" w:lineRule="auto"/>
              <w:jc w:val="left"/>
            </w:pPr>
            <w:r/>
            <w:r>
              <w:rPr>
                <w:rFonts w:ascii="Aptos" w:hAnsi="Aptos"/>
                <w:b w:val="0"/>
                <w:color w:val="24313C"/>
                <w:sz w:val="17"/>
              </w:rPr>
            </w:r>
          </w:p>
        </w:tc>
        <w:tc>
          <w:tcPr>
            <w:tcW w:type="dxa" w:w="4824"/>
            <w:vAlign w:val="center"/>
            <w:tcMar>
              <w:top w:w="90" w:type="dxa"/>
              <w:start w:w="110" w:type="dxa"/>
              <w:bottom w:w="90" w:type="dxa"/>
              <w:end w:w="110" w:type="dxa"/>
            </w:tcMar>
            <w:shd w:fill="FFFFFF"/>
          </w:tcPr>
          <w:p>
            <w:pPr>
              <w:spacing w:after="0" w:line="240" w:lineRule="auto"/>
              <w:jc w:val="left"/>
            </w:pPr>
            <w:r/>
            <w:r>
              <w:rPr>
                <w:rFonts w:ascii="Aptos" w:hAnsi="Aptos"/>
                <w:b w:val="0"/>
                <w:color w:val="24313C"/>
                <w:sz w:val="17"/>
              </w:rPr>
              <w:t>REJECTED</w:t>
            </w:r>
          </w:p>
        </w:tc>
      </w:tr>
      <w:tr>
        <w:trPr>
          <w:cantSplit/>
        </w:trPr>
        <w:tc>
          <w:tcPr>
            <w:tcW w:type="dxa" w:w="4824"/>
            <w:vAlign w:val="center"/>
            <w:tcMar>
              <w:top w:w="90" w:type="dxa"/>
              <w:start w:w="110" w:type="dxa"/>
              <w:bottom w:w="90" w:type="dxa"/>
              <w:end w:w="110" w:type="dxa"/>
            </w:tcMar>
            <w:shd w:fill="F4F7F9"/>
          </w:tcPr>
          <w:p>
            <w:pPr>
              <w:spacing w:after="0" w:line="240" w:lineRule="auto"/>
              <w:jc w:val="left"/>
            </w:pPr>
            <w:r/>
            <w:r>
              <w:rPr>
                <w:rFonts w:ascii="Aptos" w:hAnsi="Aptos"/>
                <w:b w:val="0"/>
                <w:color w:val="24313C"/>
                <w:sz w:val="17"/>
              </w:rPr>
            </w:r>
          </w:p>
        </w:tc>
        <w:tc>
          <w:tcPr>
            <w:tcW w:type="dxa" w:w="4824"/>
            <w:vAlign w:val="center"/>
            <w:tcMar>
              <w:top w:w="90" w:type="dxa"/>
              <w:start w:w="110" w:type="dxa"/>
              <w:bottom w:w="90" w:type="dxa"/>
              <w:end w:w="110" w:type="dxa"/>
            </w:tcMar>
            <w:shd w:fill="F4F7F9"/>
          </w:tcPr>
          <w:p>
            <w:pPr>
              <w:spacing w:after="0" w:line="240" w:lineRule="auto"/>
              <w:jc w:val="left"/>
            </w:pPr>
            <w:r/>
            <w:r>
              <w:rPr>
                <w:rFonts w:ascii="Aptos" w:hAnsi="Aptos"/>
                <w:b w:val="0"/>
                <w:color w:val="24313C"/>
                <w:sz w:val="17"/>
              </w:rPr>
              <w:t>ESCALATED_TO_HUMAN</w:t>
            </w:r>
          </w:p>
        </w:tc>
      </w:tr>
    </w:tbl>
    <w:p>
      <w:pPr>
        <w:spacing w:after="20"/>
      </w:pPr>
    </w:p>
    <w:p>
      <w:pPr>
        <w:widowControl/>
      </w:pPr>
      <w:r>
        <w:t>The component documentation identifies portions of this status vocabulary that still need refinement, particularly deterministic modifications currently being labeled MODIFIED_BY_CONSENSUS.</w:t>
      </w:r>
    </w:p>
    <w:p>
      <w:pPr>
        <w:pStyle w:val="Heading2"/>
        <w:keepNext/>
      </w:pPr>
      <w:r>
        <w:t>4.6 Financial Processing</w:t>
      </w:r>
    </w:p>
    <w:p>
      <w:pPr>
        <w:widowControl/>
      </w:pPr>
      <w:r>
        <w:t>Financial calculations remain attached to the transaction throughout processing.</w:t>
      </w:r>
    </w:p>
    <w:p>
      <w:pPr>
        <w:widowControl/>
      </w:pPr>
      <w:r>
        <w:t>The architecture preserves:</w:t>
      </w:r>
    </w:p>
    <w:p>
      <w:pPr>
        <w:pStyle w:val="ListBullet"/>
        <w:spacing w:after="60"/>
        <w:ind w:left="360" w:hanging="230"/>
      </w:pPr>
      <w:r>
        <w:t>Original hours and value</w:t>
      </w:r>
    </w:p>
    <w:p>
      <w:pPr>
        <w:pStyle w:val="ListBullet"/>
        <w:spacing w:after="60"/>
        <w:ind w:left="360" w:hanging="230"/>
      </w:pPr>
      <w:r>
        <w:t>Deterministically adjusted hours and value</w:t>
      </w:r>
    </w:p>
    <w:p>
      <w:pPr>
        <w:pStyle w:val="ListBullet"/>
        <w:spacing w:after="60"/>
        <w:ind w:left="360" w:hanging="230"/>
      </w:pPr>
      <w:r>
        <w:t>Final calculated value</w:t>
      </w:r>
    </w:p>
    <w:p>
      <w:pPr>
        <w:pStyle w:val="ListBullet"/>
        <w:spacing w:after="60"/>
        <w:ind w:left="360" w:hanging="230"/>
      </w:pPr>
      <w:r>
        <w:t>Difference between original and final values</w:t>
      </w:r>
    </w:p>
    <w:p>
      <w:pPr>
        <w:widowControl/>
      </w:pPr>
      <w:r>
        <w:t>The processing architecture therefore carries the economic consequence of a finding alongside the compliance result rather than separating the two into unrelated workflows.</w:t>
      </w:r>
    </w:p>
    <w:p>
      <w:pPr>
        <w:pStyle w:val="Heading2"/>
        <w:keepNext/>
      </w:pPr>
      <w:r>
        <w:t>4.7 Narrative Processing</w:t>
      </w:r>
    </w:p>
    <w:p>
      <w:pPr>
        <w:widowControl/>
      </w:pPr>
      <w:r>
        <w:t>DRE preserves several distinct narrative states.</w:t>
      </w:r>
    </w:p>
    <w:p>
      <w:pPr>
        <w:widowControl/>
      </w:pPr>
      <w:r>
        <w:t>The architecture can retain:</w:t>
      </w:r>
    </w:p>
    <w:p>
      <w:pPr>
        <w:pStyle w:val="ListBullet"/>
        <w:spacing w:after="60"/>
        <w:ind w:left="360" w:hanging="230"/>
      </w:pPr>
      <w:r>
        <w:t>Original billing narrative</w:t>
      </w:r>
    </w:p>
    <w:p>
      <w:pPr>
        <w:pStyle w:val="ListBullet"/>
        <w:spacing w:after="60"/>
        <w:ind w:left="360" w:hanging="230"/>
      </w:pPr>
      <w:r>
        <w:t>Deterministically sanitized narrative</w:t>
      </w:r>
    </w:p>
    <w:p>
      <w:pPr>
        <w:pStyle w:val="ListBullet"/>
        <w:spacing w:after="60"/>
        <w:ind w:left="360" w:hanging="230"/>
      </w:pPr>
      <w:r>
        <w:t>Agent-extracted intent</w:t>
      </w:r>
    </w:p>
    <w:p>
      <w:pPr>
        <w:pStyle w:val="ListBullet"/>
        <w:spacing w:after="60"/>
        <w:ind w:left="360" w:hanging="230"/>
      </w:pPr>
      <w:r>
        <w:t>Consensus-reconstructed narrative</w:t>
      </w:r>
    </w:p>
    <w:p>
      <w:pPr>
        <w:pStyle w:val="ListBullet"/>
        <w:spacing w:after="60"/>
        <w:ind w:left="360" w:hanging="230"/>
      </w:pPr>
      <w:r>
        <w:t>Final narrative returned in the audit receipt</w:t>
      </w:r>
    </w:p>
    <w:tbl>
      <w:tblPr>
        <w:tblW w:type="auto" w:w="0"/>
        <w:jc w:val="center"/>
        <w:tblLayout w:type="fixed"/>
        <w:tblLook w:firstColumn="1" w:firstRow="1" w:lastColumn="0" w:lastRow="0" w:noHBand="0" w:noVBand="1" w:val="04A0"/>
      </w:tblPr>
      <w:tblGrid>
        <w:gridCol w:w="1676"/>
        <w:gridCol w:w="317"/>
        <w:gridCol w:w="1676"/>
        <w:gridCol w:w="317"/>
        <w:gridCol w:w="1676"/>
        <w:gridCol w:w="317"/>
        <w:gridCol w:w="1676"/>
        <w:gridCol w:w="317"/>
        <w:gridCol w:w="1676"/>
      </w:tblGrid>
      <w:tr>
        <w:tc>
          <w:tcPr>
            <w:tcW w:type="dxa" w:w="1098"/>
            <w:vAlign w:val="center"/>
            <w:tcMar>
              <w:top w:w="90" w:type="dxa"/>
              <w:start w:w="110" w:type="dxa"/>
              <w:bottom w:w="90" w:type="dxa"/>
              <w:end w:w="110" w:type="dxa"/>
            </w:tcMar>
            <w:shd w:fill="16324F"/>
          </w:tcPr>
          <w:p>
            <w:pPr>
              <w:spacing w:after="0" w:line="240" w:lineRule="auto"/>
              <w:jc w:val="center"/>
            </w:pPr>
            <w:r/>
            <w:r>
              <w:rPr>
                <w:rFonts w:ascii="Aptos" w:hAnsi="Aptos"/>
                <w:b/>
                <w:color w:val="FFFFFF"/>
                <w:sz w:val="15"/>
              </w:rPr>
              <w:t>Original billing</w:t>
              <w:br/>
              <w:t>narrative</w:t>
            </w:r>
          </w:p>
        </w:tc>
        <w:tc>
          <w:tcPr>
            <w:tcW w:type="dxa" w:w="1098"/>
            <w:vAlign w:val="center"/>
            <w:tcMar>
              <w:top w:w="90" w:type="dxa"/>
              <w:start w:w="110" w:type="dxa"/>
              <w:bottom w:w="90" w:type="dxa"/>
              <w:end w:w="110" w:type="dxa"/>
            </w:tcMar>
            <w:shd w:fill="FFFFFF"/>
          </w:tcPr>
          <w:p>
            <w:pPr>
              <w:spacing w:after="0" w:line="240" w:lineRule="auto"/>
              <w:jc w:val="center"/>
            </w:pPr>
            <w:r/>
            <w:r>
              <w:rPr>
                <w:rFonts w:ascii="Aptos" w:hAnsi="Aptos"/>
                <w:b/>
                <w:color w:val="2E7D7A"/>
                <w:sz w:val="26"/>
              </w:rPr>
              <w:t>→</w:t>
            </w:r>
          </w:p>
        </w:tc>
        <w:tc>
          <w:tcPr>
            <w:tcW w:type="dxa" w:w="1098"/>
            <w:vAlign w:val="center"/>
            <w:tcMar>
              <w:top w:w="90" w:type="dxa"/>
              <w:start w:w="110" w:type="dxa"/>
              <w:bottom w:w="90" w:type="dxa"/>
              <w:end w:w="110" w:type="dxa"/>
            </w:tcMar>
            <w:shd w:fill="2E7D7A"/>
          </w:tcPr>
          <w:p>
            <w:pPr>
              <w:spacing w:after="0" w:line="240" w:lineRule="auto"/>
              <w:jc w:val="center"/>
            </w:pPr>
            <w:r/>
            <w:r>
              <w:rPr>
                <w:rFonts w:ascii="Aptos" w:hAnsi="Aptos"/>
                <w:b/>
                <w:color w:val="FFFFFF"/>
                <w:sz w:val="15"/>
              </w:rPr>
              <w:t>Sanitized</w:t>
              <w:br/>
              <w:t>narrative</w:t>
            </w:r>
          </w:p>
        </w:tc>
        <w:tc>
          <w:tcPr>
            <w:tcW w:type="dxa" w:w="1098"/>
            <w:vAlign w:val="center"/>
            <w:tcMar>
              <w:top w:w="90" w:type="dxa"/>
              <w:start w:w="110" w:type="dxa"/>
              <w:bottom w:w="90" w:type="dxa"/>
              <w:end w:w="110" w:type="dxa"/>
            </w:tcMar>
            <w:shd w:fill="FFFFFF"/>
          </w:tcPr>
          <w:p>
            <w:pPr>
              <w:spacing w:after="0" w:line="240" w:lineRule="auto"/>
              <w:jc w:val="center"/>
            </w:pPr>
            <w:r/>
            <w:r>
              <w:rPr>
                <w:rFonts w:ascii="Aptos" w:hAnsi="Aptos"/>
                <w:b/>
                <w:color w:val="2E7D7A"/>
                <w:sz w:val="26"/>
              </w:rPr>
              <w:t>→</w:t>
            </w:r>
          </w:p>
        </w:tc>
        <w:tc>
          <w:tcPr>
            <w:tcW w:type="dxa" w:w="1098"/>
            <w:vAlign w:val="center"/>
            <w:tcMar>
              <w:top w:w="90" w:type="dxa"/>
              <w:start w:w="110" w:type="dxa"/>
              <w:bottom w:w="90" w:type="dxa"/>
              <w:end w:w="110" w:type="dxa"/>
            </w:tcMar>
            <w:shd w:fill="1F5F8B"/>
          </w:tcPr>
          <w:p>
            <w:pPr>
              <w:spacing w:after="0" w:line="240" w:lineRule="auto"/>
              <w:jc w:val="center"/>
            </w:pPr>
            <w:r/>
            <w:r>
              <w:rPr>
                <w:rFonts w:ascii="Aptos" w:hAnsi="Aptos"/>
                <w:b/>
                <w:color w:val="FFFFFF"/>
                <w:sz w:val="15"/>
              </w:rPr>
              <w:t>Agent-extracted</w:t>
              <w:br/>
              <w:t>intent</w:t>
            </w:r>
          </w:p>
        </w:tc>
        <w:tc>
          <w:tcPr>
            <w:tcW w:type="dxa" w:w="1098"/>
            <w:vAlign w:val="center"/>
            <w:tcMar>
              <w:top w:w="90" w:type="dxa"/>
              <w:start w:w="110" w:type="dxa"/>
              <w:bottom w:w="90" w:type="dxa"/>
              <w:end w:w="110" w:type="dxa"/>
            </w:tcMar>
            <w:shd w:fill="FFFFFF"/>
          </w:tcPr>
          <w:p>
            <w:pPr>
              <w:spacing w:after="0" w:line="240" w:lineRule="auto"/>
              <w:jc w:val="center"/>
            </w:pPr>
            <w:r/>
            <w:r>
              <w:rPr>
                <w:rFonts w:ascii="Aptos" w:hAnsi="Aptos"/>
                <w:b/>
                <w:color w:val="2E7D7A"/>
                <w:sz w:val="26"/>
              </w:rPr>
              <w:t>→</w:t>
            </w:r>
          </w:p>
        </w:tc>
        <w:tc>
          <w:tcPr>
            <w:tcW w:type="dxa" w:w="1098"/>
            <w:vAlign w:val="center"/>
            <w:tcMar>
              <w:top w:w="90" w:type="dxa"/>
              <w:start w:w="110" w:type="dxa"/>
              <w:bottom w:w="90" w:type="dxa"/>
              <w:end w:w="110" w:type="dxa"/>
            </w:tcMar>
            <w:shd w:fill="1F5F8B"/>
          </w:tcPr>
          <w:p>
            <w:pPr>
              <w:spacing w:after="0" w:line="240" w:lineRule="auto"/>
              <w:jc w:val="center"/>
            </w:pPr>
            <w:r/>
            <w:r>
              <w:rPr>
                <w:rFonts w:ascii="Aptos" w:hAnsi="Aptos"/>
                <w:b/>
                <w:color w:val="FFFFFF"/>
                <w:sz w:val="15"/>
              </w:rPr>
              <w:t>Consensus-reconstructed</w:t>
              <w:br/>
              <w:t>narrative</w:t>
            </w:r>
          </w:p>
        </w:tc>
        <w:tc>
          <w:tcPr>
            <w:tcW w:type="dxa" w:w="1098"/>
            <w:vAlign w:val="center"/>
            <w:tcMar>
              <w:top w:w="90" w:type="dxa"/>
              <w:start w:w="110" w:type="dxa"/>
              <w:bottom w:w="90" w:type="dxa"/>
              <w:end w:w="110" w:type="dxa"/>
            </w:tcMar>
            <w:shd w:fill="FFFFFF"/>
          </w:tcPr>
          <w:p>
            <w:pPr>
              <w:spacing w:after="0" w:line="240" w:lineRule="auto"/>
              <w:jc w:val="center"/>
            </w:pPr>
            <w:r/>
            <w:r>
              <w:rPr>
                <w:rFonts w:ascii="Aptos" w:hAnsi="Aptos"/>
                <w:b/>
                <w:color w:val="2E7D7A"/>
                <w:sz w:val="26"/>
              </w:rPr>
              <w:t>→</w:t>
            </w:r>
          </w:p>
        </w:tc>
        <w:tc>
          <w:tcPr>
            <w:tcW w:type="dxa" w:w="1098"/>
            <w:vAlign w:val="center"/>
            <w:tcMar>
              <w:top w:w="90" w:type="dxa"/>
              <w:start w:w="110" w:type="dxa"/>
              <w:bottom w:w="90" w:type="dxa"/>
              <w:end w:w="110" w:type="dxa"/>
            </w:tcMar>
            <w:shd w:fill="C89B3C"/>
          </w:tcPr>
          <w:p>
            <w:pPr>
              <w:spacing w:after="0" w:line="240" w:lineRule="auto"/>
              <w:jc w:val="center"/>
            </w:pPr>
            <w:r/>
            <w:r>
              <w:rPr>
                <w:rFonts w:ascii="Aptos" w:hAnsi="Aptos"/>
                <w:b/>
                <w:color w:val="FFFFFF"/>
                <w:sz w:val="15"/>
              </w:rPr>
              <w:t>Final narrative</w:t>
            </w:r>
          </w:p>
        </w:tc>
      </w:tr>
    </w:tbl>
    <w:p>
      <w:pPr>
        <w:pStyle w:val="Caption"/>
        <w:keepNext w:val="0"/>
        <w:jc w:val="center"/>
      </w:pPr>
      <w:r>
        <w:t>Figure 7. Narrative states preserved through processing</w:t>
      </w:r>
    </w:p>
    <w:p>
      <w:pPr>
        <w:widowControl/>
      </w:pPr>
      <w:r>
        <w:t>This allows the system to preserve the relationship between what entered DRE and what emerged from each processing stage.</w:t>
      </w:r>
    </w:p>
    <w:p>
      <w:pPr>
        <w:pStyle w:val="Heading2"/>
        <w:keepNext/>
      </w:pPr>
      <w:r>
        <w:t>4.8 Failure Boundary</w:t>
      </w:r>
    </w:p>
    <w:p>
      <w:pPr>
        <w:widowControl/>
      </w:pPr>
      <w:r>
        <w:t>The AI consensus layer is deliberately not allowed to become a single point of uncontrolled approval.</w:t>
      </w:r>
    </w:p>
    <w:p>
      <w:pPr>
        <w:widowControl/>
      </w:pPr>
      <w:r>
        <w:t>If consensus processing fails, the orchestrator catches the failure, preserves the deterministic output, records no successful AI votes, and escalates the transaction for human verification.</w:t>
      </w:r>
    </w:p>
    <w:p>
      <w:pPr>
        <w:widowControl/>
      </w:pPr>
      <w:r>
        <w:t>The deterministic work therefore survives failure of the interpretive layer.</w:t>
      </w:r>
    </w:p>
    <w:p>
      <w:pPr>
        <w:pStyle w:val="Heading2"/>
        <w:keepNext/>
      </w:pPr>
      <w:r>
        <w:t>4.9 Unified Transaction Contract</w:t>
      </w:r>
    </w:p>
    <w:p>
      <w:pPr>
        <w:widowControl/>
      </w:pPr>
      <w:r>
        <w:t>Both processing paths ultimately return the same FinalAuditedTransaction structure.</w:t>
      </w:r>
    </w:p>
    <w:p>
      <w:pPr>
        <w:widowControl/>
      </w:pPr>
      <w:r>
        <w:t>That common contract allows downstream components to consume one result format regardless of whether a transaction required only deterministic processing or also passed through consensus.</w:t>
      </w:r>
    </w:p>
    <w:p>
      <w:pPr>
        <w:widowControl/>
      </w:pPr>
      <w:r>
        <w:t>This creates the architectural boundary between review processing and later storage, presentation, human review, reporting, or downstream integration.</w:t>
      </w:r>
    </w:p>
    <w:p>
      <w:pPr>
        <w:pStyle w:val="Heading2"/>
        <w:keepNext/>
      </w:pPr>
      <w:r>
        <w:t>4.10 Current Architecture vs. Intended Architecture</w:t>
      </w:r>
    </w:p>
    <w:p>
      <w:pPr>
        <w:widowControl/>
      </w:pPr>
      <w:r>
        <w:t>The current documents establish a working component architecture of:</w:t>
      </w:r>
    </w:p>
    <w:tbl>
      <w:tblPr>
        <w:tblW w:type="auto" w:w="0"/>
        <w:jc w:val="center"/>
        <w:tblLayout w:type="fixed"/>
        <w:tblLook w:firstColumn="1" w:firstRow="1" w:lastColumn="0" w:lastRow="0" w:noHBand="0" w:noVBand="1" w:val="04A0"/>
      </w:tblPr>
      <w:tblGrid>
        <w:gridCol w:w="173"/>
        <w:gridCol w:w="9720"/>
      </w:tblGrid>
      <w:tr>
        <w:tc>
          <w:tcPr>
            <w:tcW w:type="dxa" w:w="4939"/>
            <w:shd w:fill="2E7D7A"/>
          </w:tcPr>
          <w:p>
            <w:r/>
          </w:p>
        </w:tc>
        <w:tc>
          <w:tcPr>
            <w:tcW w:type="dxa" w:w="4939"/>
            <w:shd w:fill="EAF1F5"/>
            <w:tcMar>
              <w:top w:w="150" w:type="dxa"/>
              <w:start w:w="180" w:type="dxa"/>
              <w:bottom w:w="150" w:type="dxa"/>
              <w:end w:w="180" w:type="dxa"/>
            </w:tcMar>
          </w:tcPr>
          <w:p>
            <w:pPr>
              <w:pStyle w:val="Callout"/>
              <w:spacing w:after="0"/>
            </w:pPr>
            <w:r>
              <w:rPr>
                <w:b/>
                <w:color w:val="2E7D7A"/>
                <w:sz w:val="16"/>
              </w:rPr>
              <w:t>CURRENT ARCHITECTURE</w:t>
              <w:br/>
            </w:r>
            <w:r>
              <w:t>Deterministic engine → orchestrator → three parallel Azure OpenAI agents when required → deterministic referee → common audit receipt.</w:t>
            </w:r>
          </w:p>
        </w:tc>
      </w:tr>
    </w:tbl>
    <w:p>
      <w:pPr>
        <w:spacing w:after="0"/>
      </w:pPr>
    </w:p>
    <w:p>
      <w:pPr>
        <w:widowControl/>
      </w:pPr>
      <w:r>
        <w:t>The broader DRE direction also describes a target of three independent agents operating across multiple consensus rounds. The current consensuswrapper_ts implementation documents one parallel round of three agents, so the multi-round design remains an intended evolution rather than something the current component proves.</w:t>
      </w:r>
    </w:p>
    <w:tbl>
      <w:tblPr>
        <w:tblStyle w:val="TableGrid"/>
        <w:tblW w:type="auto" w:w="0"/>
        <w:jc w:val="center"/>
        <w:tblLayout w:type="fixed"/>
        <w:tblLook w:firstColumn="1" w:firstRow="1" w:lastColumn="0" w:lastRow="0" w:noHBand="0" w:noVBand="1" w:val="04A0"/>
      </w:tblPr>
      <w:tblGrid>
        <w:gridCol w:w="4824"/>
        <w:gridCol w:w="4824"/>
      </w:tblGrid>
      <w:tr>
        <w:trPr>
          <w:tblHeader w:val="true"/>
        </w:trPr>
        <w:tc>
          <w:tcPr>
            <w:tcW w:type="dxa" w:w="4939"/>
            <w:vAlign w:val="center"/>
            <w:tcMar>
              <w:top w:w="90" w:type="dxa"/>
              <w:start w:w="110" w:type="dxa"/>
              <w:bottom w:w="90" w:type="dxa"/>
              <w:end w:w="110" w:type="dxa"/>
            </w:tcMar>
            <w:shd w:fill="16324F"/>
          </w:tcPr>
          <w:p>
            <w:pPr>
              <w:spacing w:after="0" w:line="240" w:lineRule="auto"/>
              <w:jc w:val="left"/>
            </w:pPr>
            <w:r/>
            <w:r>
              <w:rPr>
                <w:rFonts w:ascii="Aptos" w:hAnsi="Aptos"/>
                <w:b/>
                <w:color w:val="FFFFFF"/>
                <w:sz w:val="16"/>
              </w:rPr>
              <w:t>Current implementation documents</w:t>
            </w:r>
          </w:p>
        </w:tc>
        <w:tc>
          <w:tcPr>
            <w:tcW w:type="dxa" w:w="4939"/>
            <w:vAlign w:val="center"/>
            <w:tcMar>
              <w:top w:w="90" w:type="dxa"/>
              <w:start w:w="110" w:type="dxa"/>
              <w:bottom w:w="90" w:type="dxa"/>
              <w:end w:w="110" w:type="dxa"/>
            </w:tcMar>
            <w:shd w:fill="16324F"/>
          </w:tcPr>
          <w:p>
            <w:pPr>
              <w:spacing w:after="0" w:line="240" w:lineRule="auto"/>
              <w:jc w:val="left"/>
            </w:pPr>
            <w:r/>
            <w:r>
              <w:rPr>
                <w:rFonts w:ascii="Aptos" w:hAnsi="Aptos"/>
                <w:b/>
                <w:color w:val="FFFFFF"/>
                <w:sz w:val="16"/>
              </w:rPr>
              <w:t>Intended evolution</w:t>
            </w:r>
          </w:p>
        </w:tc>
      </w:tr>
      <w:tr>
        <w:trPr>
          <w:cantSplit/>
        </w:trPr>
        <w:tc>
          <w:tcPr>
            <w:tcW w:type="dxa" w:w="4824"/>
            <w:vAlign w:val="center"/>
            <w:tcMar>
              <w:top w:w="90" w:type="dxa"/>
              <w:start w:w="110" w:type="dxa"/>
              <w:bottom w:w="90" w:type="dxa"/>
              <w:end w:w="110" w:type="dxa"/>
            </w:tcMar>
            <w:shd w:fill="FFFFFF"/>
          </w:tcPr>
          <w:p>
            <w:pPr>
              <w:spacing w:after="0" w:line="240" w:lineRule="auto"/>
              <w:jc w:val="left"/>
            </w:pPr>
            <w:r/>
            <w:r>
              <w:rPr>
                <w:rFonts w:ascii="Aptos" w:hAnsi="Aptos"/>
                <w:b w:val="0"/>
                <w:color w:val="24313C"/>
                <w:sz w:val="17"/>
              </w:rPr>
              <w:t>one parallel round of three agents</w:t>
            </w:r>
          </w:p>
        </w:tc>
        <w:tc>
          <w:tcPr>
            <w:tcW w:type="dxa" w:w="4824"/>
            <w:vAlign w:val="center"/>
            <w:tcMar>
              <w:top w:w="90" w:type="dxa"/>
              <w:start w:w="110" w:type="dxa"/>
              <w:bottom w:w="90" w:type="dxa"/>
              <w:end w:w="110" w:type="dxa"/>
            </w:tcMar>
            <w:shd w:fill="FFFFFF"/>
          </w:tcPr>
          <w:p>
            <w:pPr>
              <w:spacing w:after="0" w:line="240" w:lineRule="auto"/>
              <w:jc w:val="left"/>
            </w:pPr>
            <w:r/>
            <w:r>
              <w:rPr>
                <w:rFonts w:ascii="Aptos" w:hAnsi="Aptos"/>
                <w:b w:val="0"/>
                <w:color w:val="24313C"/>
                <w:sz w:val="17"/>
              </w:rPr>
              <w:t>three independent agents operating across multiple consensus rounds</w:t>
            </w:r>
          </w:p>
        </w:tc>
      </w:tr>
    </w:tbl>
    <w:p>
      <w:pPr>
        <w:spacing w:after="20"/>
      </w:pPr>
    </w:p>
    <w:p>
      <w:pPr>
        <w:widowControl/>
      </w:pPr>
      <w:r>
        <w:t>That distinction belongs in the internal plan because it gives us a clean line between what we’ve already built/designed concretely and what remains on the architecture roadmap.</w:t>
      </w:r>
    </w:p>
    <w:sectPr w:rsidR="00FC693F" w:rsidRPr="0006063C" w:rsidSect="00034616">
      <w:headerReference w:type="default" r:id="rId9"/>
      <w:footerReference w:type="default" r:id="rId10"/>
      <w:pgSz w:w="12240" w:h="15840"/>
      <w:pgMar w:top="1037" w:right="1181" w:bottom="1037" w:left="1181"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ectionKicker"/>
    </w:pPr>
    <w:r>
      <w:t>ENGINEERED LAUNCH  •  INTERNAL PLANNING</w:t>
    </w:r>
  </w:p>
  <w:p>
    <w:pPr>
      <w:jc w:val="right"/>
    </w:pP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ectionKicker"/>
      <w:jc w:val="left"/>
      <w:pBdr>
        <w:bottom w:val="single" w:sz="8" w:space="3" w:color="2E7D7A"/>
      </w:pBdr>
    </w:pPr>
    <w:r>
      <w:t>DRE  |  INTERNAL PRODUCT, DEPLOYMENT &amp; COMMERCIALIZATION PLAN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24313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400" w:after="160"/>
      <w:outlineLvl w:val="0"/>
    </w:pPr>
    <w:rPr>
      <w:rFonts w:asciiTheme="majorHAnsi" w:eastAsiaTheme="majorEastAsia" w:hAnsiTheme="majorHAnsi" w:cstheme="majorBidi" w:ascii="Aptos Display" w:hAnsi="Aptos Display"/>
      <w:b/>
      <w:bCs/>
      <w:color w:val="16324F"/>
      <w:sz w:val="40"/>
      <w:szCs w:val="28"/>
    </w:rPr>
  </w:style>
  <w:style w:type="paragraph" w:styleId="Heading2">
    <w:name w:val="heading 2"/>
    <w:basedOn w:val="Normal"/>
    <w:next w:val="Normal"/>
    <w:link w:val="Heading2Char"/>
    <w:uiPriority w:val="9"/>
    <w:unhideWhenUsed/>
    <w:qFormat/>
    <w:rsid w:val="00FC693F"/>
    <w:pPr>
      <w:keepNext/>
      <w:keepLines/>
      <w:spacing w:before="280" w:after="100"/>
      <w:outlineLvl w:val="1"/>
    </w:pPr>
    <w:rPr>
      <w:rFonts w:asciiTheme="majorHAnsi" w:eastAsiaTheme="majorEastAsia" w:hAnsiTheme="majorHAnsi" w:cstheme="majorBidi" w:ascii="Aptos Display" w:hAnsi="Aptos Display"/>
      <w:b/>
      <w:bCs/>
      <w:color w:val="1F5F8B"/>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ptos Display" w:hAnsi="Aptos Display"/>
      <w:b/>
      <w:bCs/>
      <w:color w:val="2E7D7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Aptos Display" w:hAnsi="Aptos Display"/>
      <w:b/>
      <w:color w:val="16324F"/>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Aptos" w:hAnsi="Aptos"/>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ptos" w:hAnsi="Aptos"/>
      <w:b/>
      <w:bCs/>
      <w:i/>
      <w:color w:val="5C6B76"/>
      <w:sz w:val="17"/>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ectionKicker">
    <w:name w:val="Section Kicker"/>
    <w:pPr>
      <w:spacing w:after="80"/>
    </w:pPr>
    <w:rPr>
      <w:rFonts w:ascii="Aptos" w:hAnsi="Aptos"/>
      <w:b/>
      <w:color w:val="2E7D7A"/>
      <w:sz w:val="17"/>
    </w:rPr>
  </w:style>
  <w:style w:type="paragraph" w:customStyle="1" w:styleId="Lead">
    <w:name w:val="Lead"/>
    <w:pPr>
      <w:spacing w:after="200" w:line="276" w:lineRule="auto"/>
    </w:pPr>
    <w:rPr>
      <w:rFonts w:ascii="Aptos" w:hAnsi="Aptos"/>
      <w:color w:val="16324F"/>
      <w:sz w:val="24"/>
    </w:rPr>
  </w:style>
  <w:style w:type="paragraph" w:customStyle="1" w:styleId="Callout">
    <w:name w:val="Callout"/>
    <w:rPr>
      <w:rFonts w:ascii="Aptos" w:hAnsi="Aptos"/>
      <w:b/>
      <w:color w:val="16324F"/>
      <w:sz w:val="22"/>
    </w:rPr>
  </w:style>
  <w:style w:type="paragraph" w:customStyle="1" w:styleId="DiagramText">
    <w:name w:val="Diagram Text"/>
    <w:rPr>
      <w:rFonts w:ascii="Aptos" w:hAnsi="Aptos"/>
      <w:b/>
      <w:color w:val="16324F"/>
      <w:sz w:val="16"/>
    </w:rPr>
  </w:style>
  <w:style w:type="paragraph" w:customStyle="1" w:styleId="TableText">
    <w:name w:val="Table Text"/>
    <w:rPr>
      <w:rFonts w:ascii="Aptos" w:hAnsi="Aptos"/>
      <w:color w:val="24313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DRE — Internal Product, Deployment &amp; Commercialization Plan</dc:title>
  <dc:subject>Part 1 — Sections 1–4</dc:subject>
  <dc:creator>Jamie Schallert</dc:creator>
  <keywords>DRE, Dr. E, Deterministic Review Engine, legal billing, Azure</keywords>
  <dc:description>generated by python-docx</dc:description>
  <lastModifiedBy>Jamie Schallert</lastModifiedBy>
  <revision>1</revision>
  <dcterms:created xsi:type="dcterms:W3CDTF">2026-09-14T00:13:48.5044692Z</dcterms:created>
  <dcterms:modified xsi:type="dcterms:W3CDTF">2026-09-14T00:13:48.5044692Z</dcterms:modified>
  <category/>
</coreProperties>
</file>