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60"/>
      </w:pPr>
      <w:r>
        <w:rPr>
          <w:b/>
          <w:color w:val="2E7D7A"/>
          <w:sz w:val="20"/>
        </w:rPr>
        <w:t>ENGINEERED LAUNCH</w:t>
      </w:r>
    </w:p>
    <w:p>
      <w:pPr>
        <w:pStyle w:val="Title"/>
      </w:pPr>
      <w:r>
        <w:t>DRE Executive Brief</w:t>
      </w:r>
    </w:p>
    <w:p>
      <w:r>
        <w:rPr>
          <w:color w:val="1F5F8B"/>
          <w:sz w:val="30"/>
        </w:rPr>
        <w:t>Deterministic Review Engine</w:t>
      </w:r>
    </w:p>
    <w:tbl>
      <w:tblPr>
        <w:tblW w:type="auto" w:w="0"/>
        <w:jc w:val="left"/>
        <w:tblLayout w:type="fixed"/>
        <w:tblLook w:firstColumn="1" w:firstRow="1" w:lastColumn="0" w:lastRow="0" w:noHBand="0" w:noVBand="1" w:val="04A0"/>
      </w:tblPr>
      <w:tblGrid>
        <w:gridCol w:w="8352"/>
      </w:tblGrid>
      <w:tr>
        <w:tc>
          <w:tcPr>
            <w:tcW w:type="dxa" w:w="9878"/>
            <w:shd w:fill="16324F"/>
            <w:vAlign w:val="center"/>
            <w:tcMar>
              <w:top w:w="120" w:type="dxa"/>
              <w:start w:w="120" w:type="dxa"/>
              <w:bottom w:w="120" w:type="dxa"/>
              <w:end w:w="120" w:type="dxa"/>
            </w:tcMar>
          </w:tcPr>
          <w:p>
            <w:pPr>
              <w:spacing w:after="0"/>
              <w:jc w:val="center"/>
            </w:pPr>
            <w:r/>
            <w:r>
              <w:rPr>
                <w:rFonts w:ascii="Aptos" w:hAnsi="Aptos"/>
                <w:b/>
                <w:color w:val="FFFFFF"/>
                <w:sz w:val="19"/>
              </w:rPr>
              <w:t>EXECUTIVE OVERVIEW  •  CUSTOMERS  •  LEGAL OPERATIONS  •  DESIGN PARTNERS</w:t>
            </w:r>
          </w:p>
        </w:tc>
      </w:tr>
    </w:tbl>
    <w:p>
      <w:pPr>
        <w:spacing w:before="3000"/>
      </w:pPr>
    </w:p>
    <w:p>
      <w:r>
        <w:rPr>
          <w:color w:val="5C6B76"/>
          <w:sz w:val="22"/>
        </w:rPr>
        <w:t>DRE / Dr. E — Deterministic Review Engine</w:t>
      </w:r>
    </w:p>
    <w:p>
      <w:r>
        <w:rPr>
          <w:color w:val="5C6B76"/>
          <w:sz w:val="18"/>
        </w:rPr>
        <w:t>Legal owner: Jamie Lynn Schallert / Engineered Launch</w:t>
      </w:r>
    </w:p>
    <w:p>
      <w:r>
        <w:br w:type="page"/>
      </w:r>
    </w:p>
    <w:p>
      <w:pPr>
        <w:pStyle w:val="Heading1"/>
      </w:pPr>
      <w:r>
        <w:t>Executive Summary</w:t>
      </w:r>
    </w:p>
    <w:p>
      <w:r>
        <w:t>DRE (Deterministic Review Engine) is a legal-billing review platform designed to help corporate legal departments review outside-counsel invoices more efficiently while preserving human authority over decisions that genuinely require judgment.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OPERATING PRINCIPLE</w:t>
              <w:br/>
            </w:r>
            <w:r>
              <w:t>Automate what can be controlled. Escalate what requires interpretation. Preserve human authority where judgment is required.</w:t>
            </w:r>
          </w:p>
        </w:tc>
      </w:tr>
    </w:tbl>
    <w:p/>
    <w:p>
      <w:r>
        <w:t>Rather than treating every billing entry the same, DRE separates review into three distinct layers: deterministic review, controlled semantic analysis, and human review. The result is a system designed to reduce unnecessary manual review while maintaining transparency, evidence, and accountability.</w:t>
      </w:r>
    </w:p>
    <w:p>
      <w:pPr>
        <w:pStyle w:val="Heading1"/>
      </w:pPr>
      <w:r>
        <w:t>The Problem</w:t>
      </w:r>
    </w:p>
    <w:p>
      <w:r>
        <w:t>Corporate legal departments routinely spend significant time reviewing outside-counsel invoices and enforcing Outside Counsel Guidelines (OCGs). Many billing issues are objective, while others require interpretation or authorized judgment. Traditional workflows frequently force people to evaluate both categories manually, creating cost, inconsistency, delay, and operational burden.</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OBJECTIVE QUESTIONS</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INTERPRETIVE QUESTIONS</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Administrative charges, rate violations, policy violations, and threshold exceptions</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Ambiguous narratives, potential block billing, context-sensitive entries, and exception handling</w:t>
            </w:r>
          </w:p>
        </w:tc>
      </w:tr>
    </w:tbl>
    <w:p/>
    <w:p>
      <w:pPr>
        <w:pStyle w:val="Heading1"/>
      </w:pPr>
      <w:r>
        <w:t>The DRE Approach</w:t>
      </w:r>
    </w:p>
    <w:p>
      <w:pPr>
        <w:pStyle w:val="Heading2"/>
      </w:pPr>
      <w:r>
        <w:t>1. Deterministic Review</w:t>
      </w:r>
    </w:p>
    <w:p>
      <w:r>
        <w:t>Objective policy questions are evaluated using defined rules. Transactions that can be resolved deterministically leave the workflow without unnecessary AI processing or human attention.</w:t>
      </w:r>
    </w:p>
    <w:p>
      <w:pPr>
        <w:pStyle w:val="Heading2"/>
      </w:pPr>
      <w:r>
        <w:t>2. Controlled Semantic Review</w:t>
      </w:r>
    </w:p>
    <w:p>
      <w:r>
        <w:t>Only transactions requiring interpretation proceed to semantic analysis. Specialized AI review roles evaluate ambiguity in a controlled exception path. The purpose is not to replace judgment. It is to isolate ambiguity.</w:t>
      </w:r>
    </w:p>
    <w:p>
      <w:pPr>
        <w:pStyle w:val="Heading2"/>
      </w:pPr>
      <w:r>
        <w:t>3. Human Authority</w:t>
      </w:r>
    </w:p>
    <w:p>
      <w:r>
        <w:t>Transactions requiring human decision-making are routed into Human Review. DRE provides findings, evidence, and recommendations. Final authority remains with the authorized reviewer.</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STAGE</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FUNCTION</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1</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Deterministic review</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2</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Controlled semantic review when required</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3</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Human review where judgment remains</w:t>
            </w:r>
          </w:p>
        </w:tc>
      </w:tr>
    </w:tbl>
    <w:p/>
    <w:p>
      <w:pPr>
        <w:jc w:val="center"/>
      </w:pPr>
      <w:r>
        <w:rPr>
          <w:i/>
          <w:color w:val="5C6B76"/>
          <w:sz w:val="17"/>
        </w:rPr>
        <w:t>DRE review model</w:t>
      </w:r>
    </w:p>
    <w:p>
      <w:pPr>
        <w:pStyle w:val="Heading1"/>
      </w:pPr>
      <w:r>
        <w:t>Customer Experience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CORE EXPERIENCE</w:t>
              <w:br/>
            </w:r>
            <w:r>
              <w:t>One legal-billing file in. Two files out.</w:t>
            </w:r>
          </w:p>
        </w:tc>
      </w:tr>
    </w:tbl>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OUTPUT</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MEANING</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PASSED CONSENSUS</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Transactions that successfully completed the applicable automated review path.</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HUMAN REVIEW</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Transactions requiring authorized human attention.</w:t>
            </w:r>
          </w:p>
        </w:tc>
      </w:tr>
    </w:tbl>
    <w:p/>
    <w:p>
      <w:r>
        <w:t>The goal is not to make review disappear. It is to ensure people review only what actually requires judgment.</w:t>
      </w:r>
    </w:p>
    <w:p>
      <w:pPr>
        <w:pStyle w:val="Heading1"/>
      </w:pPr>
      <w:r>
        <w:t>Customer-Owned Azure Deployment</w:t>
      </w:r>
    </w:p>
    <w:p>
      <w:r>
        <w:t>DRE is designed for deployment inside the customer’s Azure environment. The intended model supports customer control of data, identity, networking, security, logging, and governance while Engineered Launch retains ownership of the reusable DRE software platform.</w:t>
      </w:r>
    </w:p>
    <w:p>
      <w:pPr>
        <w:pStyle w:val="Heading1"/>
      </w:pPr>
      <w:r>
        <w:t>Why DRE Is Different</w:t>
      </w:r>
    </w:p>
    <w:p>
      <w:r>
        <w:t>DRE is not attempting to become matter management, CRM, document management, timekeeping, or trust accounting. It focuses specifically on legal-billing review and is designed to coexist with systems the customer already uses.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PRODUCT POSITION</w:t>
              <w:br/>
            </w:r>
            <w:r>
              <w:t>Solve the billing-review problem without requiring replacement of the customer’s broader legal technology ecosystem.</w:t>
            </w:r>
          </w:p>
        </w:tc>
      </w:tr>
    </w:tbl>
    <w:p/>
    <w:p>
      <w:pPr>
        <w:pStyle w:val="Heading1"/>
      </w:pPr>
      <w:r>
        <w:t>Current Status</w:t>
      </w:r>
    </w:p>
    <w:tbl>
      <w:tblPr>
        <w:tblStyle w:val="TableGrid"/>
        <w:tblW w:type="auto" w:w="0"/>
        <w:jc w:val="center"/>
        <w:tblLook w:firstColumn="1" w:firstRow="1" w:lastColumn="0" w:lastRow="0" w:noHBand="0" w:noVBand="1" w:val="04A0"/>
      </w:tblPr>
      <w:tblGrid>
        <w:gridCol w:w="3293"/>
        <w:gridCol w:w="3293"/>
        <w:gridCol w:w="3293"/>
      </w:tblGrid>
      <w:tr>
        <w:tc>
          <w:tcPr>
            <w:tcW w:type="dxa" w:w="3293"/>
            <w:vAlign w:val="center"/>
            <w:tcMar>
              <w:top w:w="120" w:type="dxa"/>
              <w:start w:w="120" w:type="dxa"/>
              <w:bottom w:w="120" w:type="dxa"/>
              <w:end w:w="120" w:type="dxa"/>
            </w:tcMar>
            <w:shd w:fill="16324F"/>
          </w:tcPr>
          <w:p>
            <w:pPr>
              <w:spacing w:after="0"/>
              <w:jc w:val="left"/>
            </w:pPr>
            <w:r/>
            <w:r>
              <w:rPr>
                <w:rFonts w:ascii="Aptos" w:hAnsi="Aptos"/>
                <w:b/>
                <w:color w:val="FFFFFF"/>
                <w:sz w:val="16"/>
              </w:rPr>
              <w:t>ESTABLISHED</w:t>
            </w:r>
          </w:p>
        </w:tc>
        <w:tc>
          <w:tcPr>
            <w:tcW w:type="dxa" w:w="3293"/>
            <w:vAlign w:val="center"/>
            <w:tcMar>
              <w:top w:w="120" w:type="dxa"/>
              <w:start w:w="120" w:type="dxa"/>
              <w:bottom w:w="120" w:type="dxa"/>
              <w:end w:w="120" w:type="dxa"/>
            </w:tcMar>
            <w:shd w:fill="16324F"/>
          </w:tcPr>
          <w:p>
            <w:pPr>
              <w:spacing w:after="0"/>
              <w:jc w:val="left"/>
            </w:pPr>
            <w:r/>
            <w:r>
              <w:rPr>
                <w:rFonts w:ascii="Aptos" w:hAnsi="Aptos"/>
                <w:b/>
                <w:color w:val="FFFFFF"/>
                <w:sz w:val="16"/>
              </w:rPr>
              <w:t>IN PROGRESS</w:t>
            </w:r>
          </w:p>
        </w:tc>
        <w:tc>
          <w:tcPr>
            <w:tcW w:type="dxa" w:w="3293"/>
            <w:vAlign w:val="center"/>
            <w:tcMar>
              <w:top w:w="120" w:type="dxa"/>
              <w:start w:w="120" w:type="dxa"/>
              <w:bottom w:w="120" w:type="dxa"/>
              <w:end w:w="120" w:type="dxa"/>
            </w:tcMar>
            <w:shd w:fill="16324F"/>
          </w:tcPr>
          <w:p>
            <w:pPr>
              <w:spacing w:after="0"/>
              <w:jc w:val="left"/>
            </w:pPr>
            <w:r/>
            <w:r>
              <w:rPr>
                <w:rFonts w:ascii="Aptos" w:hAnsi="Aptos"/>
                <w:b/>
                <w:color w:val="FFFFFF"/>
                <w:sz w:val="16"/>
              </w:rPr>
              <w:t>FUTURE</w:t>
            </w:r>
          </w:p>
        </w:tc>
      </w:tr>
      <w:tr>
        <w:tc>
          <w:tcPr>
            <w:tcW w:type="dxa" w:w="3293"/>
            <w:vAlign w:val="center"/>
            <w:tcMar>
              <w:top w:w="120" w:type="dxa"/>
              <w:start w:w="120" w:type="dxa"/>
              <w:bottom w:w="120" w:type="dxa"/>
              <w:end w:w="120" w:type="dxa"/>
            </w:tcMar>
            <w:shd w:fill="FFFFFF"/>
          </w:tcPr>
          <w:p>
            <w:pPr>
              <w:spacing w:after="0"/>
              <w:jc w:val="left"/>
            </w:pPr>
            <w:r/>
            <w:r>
              <w:rPr>
                <w:rFonts w:ascii="Aptos" w:hAnsi="Aptos"/>
                <w:b w:val="0"/>
                <w:color w:val="24313C"/>
                <w:sz w:val="17"/>
              </w:rPr>
              <w:t>Deterministic review engine; consensus architecture; transaction orchestration; synthetic billing data; Azure infrastructure foundation; technical documentation</w:t>
            </w:r>
          </w:p>
        </w:tc>
        <w:tc>
          <w:tcPr>
            <w:tcW w:type="dxa" w:w="3293"/>
            <w:vAlign w:val="center"/>
            <w:tcMar>
              <w:top w:w="120" w:type="dxa"/>
              <w:start w:w="120" w:type="dxa"/>
              <w:bottom w:w="120" w:type="dxa"/>
              <w:end w:w="120" w:type="dxa"/>
            </w:tcMar>
            <w:shd w:fill="FFFFFF"/>
          </w:tcPr>
          <w:p>
            <w:pPr>
              <w:spacing w:after="0"/>
              <w:jc w:val="left"/>
            </w:pPr>
            <w:r/>
            <w:r>
              <w:rPr>
                <w:rFonts w:ascii="Aptos" w:hAnsi="Aptos"/>
                <w:b w:val="0"/>
                <w:color w:val="24313C"/>
                <w:sz w:val="17"/>
              </w:rPr>
              <w:t>Public demonstration; website; customer validation; feedback collection</w:t>
            </w:r>
          </w:p>
        </w:tc>
        <w:tc>
          <w:tcPr>
            <w:tcW w:type="dxa" w:w="3293"/>
            <w:vAlign w:val="center"/>
            <w:tcMar>
              <w:top w:w="120" w:type="dxa"/>
              <w:start w:w="120" w:type="dxa"/>
              <w:bottom w:w="120" w:type="dxa"/>
              <w:end w:w="120" w:type="dxa"/>
            </w:tcMar>
            <w:shd w:fill="FFFFFF"/>
          </w:tcPr>
          <w:p>
            <w:pPr>
              <w:spacing w:after="0"/>
              <w:jc w:val="left"/>
            </w:pPr>
            <w:r/>
            <w:r>
              <w:rPr>
                <w:rFonts w:ascii="Aptos" w:hAnsi="Aptos"/>
                <w:b w:val="0"/>
                <w:color w:val="24313C"/>
                <w:sz w:val="17"/>
              </w:rPr>
              <w:t>Enterprise hardening; customer deployment packages; Marketplace readiness; Microsoft co-sell pathway</w:t>
            </w:r>
          </w:p>
        </w:tc>
      </w:tr>
    </w:tbl>
    <w:p/>
    <w:p>
      <w:pPr>
        <w:pStyle w:val="Heading1"/>
      </w:pPr>
      <w:r>
        <w:t>Strategic Vision</w:t>
      </w:r>
    </w:p>
    <w:p>
      <w:pPr>
        <w:pStyle w:val="ListBullet"/>
        <w:spacing w:after="60"/>
        <w:ind w:left="360" w:hanging="230"/>
      </w:pPr>
      <w:r>
        <w:t>Reduce unnecessary review effort</w:t>
      </w:r>
    </w:p>
    <w:p>
      <w:pPr>
        <w:pStyle w:val="ListBullet"/>
        <w:spacing w:after="60"/>
        <w:ind w:left="360" w:hanging="230"/>
      </w:pPr>
      <w:r>
        <w:t>Preserve human authority</w:t>
      </w:r>
    </w:p>
    <w:p>
      <w:pPr>
        <w:pStyle w:val="ListBullet"/>
        <w:spacing w:after="60"/>
        <w:ind w:left="360" w:hanging="230"/>
      </w:pPr>
      <w:r>
        <w:t>Provide explainable outcomes</w:t>
      </w:r>
    </w:p>
    <w:p>
      <w:pPr>
        <w:pStyle w:val="ListBullet"/>
        <w:spacing w:after="60"/>
        <w:ind w:left="360" w:hanging="230"/>
      </w:pPr>
      <w:r>
        <w:t>Operate inside enterprise Azure environments</w:t>
      </w:r>
    </w:p>
    <w:p>
      <w:pPr>
        <w:pStyle w:val="ListBullet"/>
        <w:spacing w:after="60"/>
        <w:ind w:left="360" w:hanging="230"/>
      </w:pPr>
      <w:r>
        <w:t>Scale through repeatable deployment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DRE IN ONE SENTENCE</w:t>
              <w:br/>
            </w:r>
            <w:r>
              <w:t>DRE is a deterministic-first legal-billing review platform that automates objective invoice review, isolates ambiguous exceptions for controlled AI analysis, preserves human authority, and is designed to operate inside the customer’s Azure environment.</w:t>
            </w:r>
          </w:p>
        </w:tc>
      </w:tr>
    </w:tbl>
    <w:p/>
    <w:sectPr w:rsidR="00FC693F" w:rsidRPr="0006063C" w:rsidSect="00034616">
      <w:headerReference w:type="default" r:id="rId9"/>
      <w:footerReference w:type="default" r:id="rId10"/>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color w:val="2E7D7A"/>
        <w:sz w:val="16"/>
      </w:rPr>
      <w:t>ENGINEERED LAUNCH  •  DRE / DR. E</w:t>
    </w:r>
  </w:p>
  <w:p>
    <w:pPr>
      <w:jc w:val="right"/>
    </w:pPr>
    <w: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2E7D7A"/>
        <w:sz w:val="17"/>
      </w:rPr>
      <w:t>DRE  |  ENGINEERED LAUNCH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43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ptos Display" w:hAnsi="Aptos Display"/>
      <w:b/>
      <w:bCs/>
      <w:color w:val="16324F"/>
      <w:sz w:val="38"/>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Aptos Display" w:hAnsi="Aptos Display"/>
      <w:b/>
      <w:bCs/>
      <w:color w:val="1F5F8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300"/>
      <w:contextualSpacing/>
    </w:pPr>
    <w:rPr>
      <w:rFonts w:asciiTheme="majorHAnsi" w:eastAsiaTheme="majorEastAsia" w:hAnsiTheme="majorHAnsi" w:cstheme="majorBidi" w:ascii="Aptos Display" w:hAnsi="Aptos Display"/>
      <w:b/>
      <w:color w:val="16324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ptos" w:hAnsi="Aptos"/>
      <w:b/>
      <w:color w:val="16324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DRE Executive Brief</dc:title>
  <dc:subject>DRE Executive Brief</dc:subject>
  <dc:creator>Jamie Schallert</dc:creator>
  <keywords/>
  <dc:description>generated by python-docx</dc:description>
  <lastModifiedBy>Jamie Schallert</lastModifiedBy>
  <revision>1</revision>
  <dcterms:created xsi:type="dcterms:W3CDTF">2026-09-14T01:29:43.3178961Z</dcterms:created>
  <dcterms:modified xsi:type="dcterms:W3CDTF">2026-09-14T01:29:43.3178961Z</dcterms:modified>
  <category/>
</coreProperties>
</file>