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9BF73" w14:textId="77777777" w:rsidR="00E0002C" w:rsidRDefault="00000000">
      <w:pPr>
        <w:spacing w:before="1160"/>
        <w:jc w:val="center"/>
      </w:pPr>
      <w:r>
        <w:rPr>
          <w:rFonts w:ascii="Aptos Display" w:hAnsi="Aptos Display"/>
          <w:b/>
          <w:color w:val="2764D8"/>
          <w:sz w:val="68"/>
        </w:rPr>
        <w:t>DRE RUNTESTS_TS</w:t>
      </w:r>
    </w:p>
    <w:p w14:paraId="5E827AE6" w14:textId="77777777" w:rsidR="00E0002C" w:rsidRDefault="00000000">
      <w:pPr>
        <w:jc w:val="center"/>
      </w:pPr>
      <w:r>
        <w:rPr>
          <w:b/>
          <w:color w:val="12233F"/>
          <w:sz w:val="40"/>
        </w:rPr>
        <w:t>Infrastructure Relevance and Validation Role</w:t>
      </w:r>
    </w:p>
    <w:p w14:paraId="4EB1C320" w14:textId="77777777" w:rsidR="00E0002C" w:rsidRDefault="00000000">
      <w:pPr>
        <w:spacing w:before="180"/>
        <w:jc w:val="center"/>
      </w:pPr>
      <w:r>
        <w:rPr>
          <w:sz w:val="25"/>
        </w:rPr>
        <w:t>How the supplied Bicep definition supports repeatable testing of the Legal Firewall Azure foundation</w:t>
      </w:r>
    </w:p>
    <w:p w14:paraId="149784A2" w14:textId="77777777" w:rsidR="00E0002C" w:rsidRDefault="00E0002C">
      <w:pPr>
        <w:spacing w:before="760"/>
      </w:pPr>
    </w:p>
    <w:tbl>
      <w:tblPr>
        <w:tblW w:w="0" w:type="auto"/>
        <w:jc w:val="center"/>
        <w:tblLayout w:type="fixed"/>
        <w:tblLook w:val="04A0" w:firstRow="1" w:lastRow="0" w:firstColumn="1" w:lastColumn="0" w:noHBand="0" w:noVBand="1"/>
      </w:tblPr>
      <w:tblGrid>
        <w:gridCol w:w="259"/>
        <w:gridCol w:w="9432"/>
      </w:tblGrid>
      <w:tr w:rsidR="00E0002C" w14:paraId="27F08026" w14:textId="77777777">
        <w:trPr>
          <w:jc w:val="center"/>
        </w:trPr>
        <w:tc>
          <w:tcPr>
            <w:tcW w:w="259" w:type="dxa"/>
            <w:shd w:val="clear" w:color="auto" w:fill="2764D8"/>
          </w:tcPr>
          <w:p w14:paraId="13C804CF" w14:textId="77777777" w:rsidR="00E0002C" w:rsidRDefault="00E0002C"/>
        </w:tc>
        <w:tc>
          <w:tcPr>
            <w:tcW w:w="9432" w:type="dxa"/>
            <w:shd w:val="clear" w:color="auto" w:fill="EAF1FB"/>
            <w:tcMar>
              <w:top w:w="150" w:type="dxa"/>
              <w:left w:w="150" w:type="dxa"/>
              <w:bottom w:w="150" w:type="dxa"/>
              <w:right w:w="150" w:type="dxa"/>
            </w:tcMar>
          </w:tcPr>
          <w:p w14:paraId="7B6D3763" w14:textId="77777777" w:rsidR="00E0002C" w:rsidRDefault="00000000">
            <w:r>
              <w:rPr>
                <w:b/>
                <w:color w:val="12233F"/>
                <w:sz w:val="21"/>
              </w:rPr>
              <w:t>DOCUMENT PURPOSE</w:t>
            </w:r>
          </w:p>
          <w:p w14:paraId="27F2C807" w14:textId="77777777" w:rsidR="00E0002C" w:rsidRDefault="00000000">
            <w:pPr>
              <w:spacing w:after="40" w:line="259" w:lineRule="auto"/>
            </w:pPr>
            <w:r>
              <w:t>This document explains why the supplied infrastructure definition is relevant to DRE testing. It treats the file as the deployment fixture used by the runtests_ts workflow: the repeatable environment definition against which provisioning, configuration, security, and integration checks can be run.</w:t>
            </w:r>
          </w:p>
        </w:tc>
      </w:tr>
    </w:tbl>
    <w:p w14:paraId="5070EFD8" w14:textId="77777777" w:rsidR="00E0002C" w:rsidRDefault="00E0002C">
      <w:pPr>
        <w:spacing w:after="20"/>
      </w:pPr>
    </w:p>
    <w:p w14:paraId="17AE1A99" w14:textId="77777777" w:rsidR="00E0002C" w:rsidRDefault="00000000">
      <w:pPr>
        <w:spacing w:before="1160"/>
        <w:jc w:val="center"/>
      </w:pPr>
      <w:r>
        <w:rPr>
          <w:b/>
          <w:color w:val="5E6A78"/>
        </w:rPr>
        <w:t>Infrastructure fixture • test relevance • expected assertions • known gaps</w:t>
      </w:r>
    </w:p>
    <w:p w14:paraId="0D3F0CFE" w14:textId="77777777" w:rsidR="00E0002C" w:rsidRDefault="00000000">
      <w:r>
        <w:br w:type="page"/>
      </w:r>
    </w:p>
    <w:p w14:paraId="46E22299" w14:textId="77777777" w:rsidR="00E0002C" w:rsidRDefault="00000000">
      <w:pPr>
        <w:pStyle w:val="Heading1"/>
      </w:pPr>
      <w:r>
        <w:lastRenderedPageBreak/>
        <w:t>Executive Relevance</w:t>
      </w:r>
    </w:p>
    <w:p w14:paraId="6C561581" w14:textId="77777777" w:rsidR="00E0002C" w:rsidRDefault="00000000">
      <w:pPr>
        <w:spacing w:after="120" w:line="269" w:lineRule="auto"/>
      </w:pPr>
      <w:r>
        <w:t>The supplied content is Bicep infrastructure code rather than TypeScript test logic. Its relevance to a file or workflow named runtests_ts is that it defines the Azure environment the test runner can deploy, inspect, exercise, and tear down. In other words, runtests_ts can validate application and control behavior only when the underlying resources are created consistently enough to produce repeatable evidence.</w:t>
      </w:r>
    </w:p>
    <w:tbl>
      <w:tblPr>
        <w:tblW w:w="0" w:type="auto"/>
        <w:jc w:val="center"/>
        <w:tblLayout w:type="fixed"/>
        <w:tblLook w:val="04A0" w:firstRow="1" w:lastRow="0" w:firstColumn="1" w:lastColumn="0" w:noHBand="0" w:noVBand="1"/>
      </w:tblPr>
      <w:tblGrid>
        <w:gridCol w:w="259"/>
        <w:gridCol w:w="9432"/>
      </w:tblGrid>
      <w:tr w:rsidR="00E0002C" w14:paraId="0DF8B218" w14:textId="77777777">
        <w:trPr>
          <w:jc w:val="center"/>
        </w:trPr>
        <w:tc>
          <w:tcPr>
            <w:tcW w:w="259" w:type="dxa"/>
            <w:shd w:val="clear" w:color="auto" w:fill="2764D8"/>
          </w:tcPr>
          <w:p w14:paraId="3D83F278" w14:textId="77777777" w:rsidR="00E0002C" w:rsidRDefault="00E0002C"/>
        </w:tc>
        <w:tc>
          <w:tcPr>
            <w:tcW w:w="9432" w:type="dxa"/>
            <w:shd w:val="clear" w:color="auto" w:fill="EAF1FB"/>
            <w:tcMar>
              <w:top w:w="150" w:type="dxa"/>
              <w:left w:w="150" w:type="dxa"/>
              <w:bottom w:w="150" w:type="dxa"/>
              <w:right w:w="150" w:type="dxa"/>
            </w:tcMar>
          </w:tcPr>
          <w:p w14:paraId="09F9C222" w14:textId="77777777" w:rsidR="00E0002C" w:rsidRDefault="00000000">
            <w:r>
              <w:rPr>
                <w:b/>
                <w:color w:val="12233F"/>
                <w:sz w:val="21"/>
              </w:rPr>
              <w:t>WHY IT MATTERS</w:t>
            </w:r>
          </w:p>
          <w:p w14:paraId="4D995257" w14:textId="77777777" w:rsidR="00E0002C" w:rsidRDefault="00000000">
            <w:pPr>
              <w:spacing w:after="40" w:line="259" w:lineRule="auto"/>
            </w:pPr>
            <w:r>
              <w:t>A test suite is stronger when it validates the real infrastructure contract, not only isolated application functions. This definition gives DRE a concrete baseline for network addressing, resource naming, secrets storage, audit storage, and restricted Azure OpenAI access.</w:t>
            </w:r>
          </w:p>
        </w:tc>
      </w:tr>
    </w:tbl>
    <w:p w14:paraId="18D4F812" w14:textId="77777777" w:rsidR="00E0002C" w:rsidRDefault="00E0002C">
      <w:pPr>
        <w:spacing w:after="20"/>
      </w:pPr>
    </w:p>
    <w:p w14:paraId="3D3D8A9A" w14:textId="77777777" w:rsidR="00E0002C" w:rsidRDefault="00000000">
      <w:pPr>
        <w:pStyle w:val="Heading2"/>
      </w:pPr>
      <w:r>
        <w:t>The Infrastructure Contract Created by the File</w:t>
      </w:r>
    </w:p>
    <w:tbl>
      <w:tblPr>
        <w:tblStyle w:val="TableGrid"/>
        <w:tblW w:w="0" w:type="auto"/>
        <w:jc w:val="center"/>
        <w:tblLayout w:type="fixed"/>
        <w:tblLook w:val="04A0" w:firstRow="1" w:lastRow="0" w:firstColumn="1" w:lastColumn="0" w:noHBand="0" w:noVBand="1"/>
      </w:tblPr>
      <w:tblGrid>
        <w:gridCol w:w="1944"/>
        <w:gridCol w:w="3672"/>
        <w:gridCol w:w="4104"/>
      </w:tblGrid>
      <w:tr w:rsidR="00E0002C" w14:paraId="594C01D3" w14:textId="77777777">
        <w:trPr>
          <w:jc w:val="center"/>
        </w:trPr>
        <w:tc>
          <w:tcPr>
            <w:tcW w:w="1944" w:type="dxa"/>
            <w:shd w:val="clear" w:color="auto" w:fill="12233F"/>
            <w:tcMar>
              <w:top w:w="115" w:type="dxa"/>
              <w:left w:w="115" w:type="dxa"/>
              <w:bottom w:w="115" w:type="dxa"/>
              <w:right w:w="115" w:type="dxa"/>
            </w:tcMar>
          </w:tcPr>
          <w:p w14:paraId="7CFB1B65" w14:textId="77777777" w:rsidR="00E0002C" w:rsidRDefault="00000000">
            <w:pPr>
              <w:jc w:val="center"/>
            </w:pPr>
            <w:r>
              <w:rPr>
                <w:b/>
                <w:color w:val="FFFFFF"/>
                <w:sz w:val="17"/>
              </w:rPr>
              <w:t>Resource</w:t>
            </w:r>
          </w:p>
        </w:tc>
        <w:tc>
          <w:tcPr>
            <w:tcW w:w="3672" w:type="dxa"/>
            <w:shd w:val="clear" w:color="auto" w:fill="12233F"/>
            <w:tcMar>
              <w:top w:w="115" w:type="dxa"/>
              <w:left w:w="115" w:type="dxa"/>
              <w:bottom w:w="115" w:type="dxa"/>
              <w:right w:w="115" w:type="dxa"/>
            </w:tcMar>
          </w:tcPr>
          <w:p w14:paraId="4856EFA5" w14:textId="77777777" w:rsidR="00E0002C" w:rsidRDefault="00000000">
            <w:pPr>
              <w:jc w:val="center"/>
            </w:pPr>
            <w:r>
              <w:rPr>
                <w:b/>
                <w:color w:val="FFFFFF"/>
                <w:sz w:val="17"/>
              </w:rPr>
              <w:t>Declared Contract</w:t>
            </w:r>
          </w:p>
        </w:tc>
        <w:tc>
          <w:tcPr>
            <w:tcW w:w="4104" w:type="dxa"/>
            <w:shd w:val="clear" w:color="auto" w:fill="12233F"/>
            <w:tcMar>
              <w:top w:w="115" w:type="dxa"/>
              <w:left w:w="115" w:type="dxa"/>
              <w:bottom w:w="115" w:type="dxa"/>
              <w:right w:w="115" w:type="dxa"/>
            </w:tcMar>
          </w:tcPr>
          <w:p w14:paraId="4A3473D1" w14:textId="77777777" w:rsidR="00E0002C" w:rsidRDefault="00000000">
            <w:pPr>
              <w:jc w:val="center"/>
            </w:pPr>
            <w:r>
              <w:rPr>
                <w:b/>
                <w:color w:val="FFFFFF"/>
                <w:sz w:val="17"/>
              </w:rPr>
              <w:t>Relevance to Tests</w:t>
            </w:r>
          </w:p>
        </w:tc>
      </w:tr>
      <w:tr w:rsidR="00E0002C" w14:paraId="64CB75E1" w14:textId="77777777">
        <w:trPr>
          <w:jc w:val="center"/>
        </w:trPr>
        <w:tc>
          <w:tcPr>
            <w:tcW w:w="1944" w:type="dxa"/>
            <w:shd w:val="clear" w:color="auto" w:fill="F5F8FC"/>
            <w:tcMar>
              <w:top w:w="115" w:type="dxa"/>
              <w:left w:w="115" w:type="dxa"/>
              <w:bottom w:w="115" w:type="dxa"/>
              <w:right w:w="115" w:type="dxa"/>
            </w:tcMar>
            <w:vAlign w:val="center"/>
          </w:tcPr>
          <w:p w14:paraId="53EEE0E1" w14:textId="77777777" w:rsidR="00E0002C" w:rsidRDefault="00000000">
            <w:pPr>
              <w:spacing w:after="20"/>
            </w:pPr>
            <w:r>
              <w:rPr>
                <w:sz w:val="17"/>
              </w:rPr>
              <w:t>Parameters</w:t>
            </w:r>
          </w:p>
        </w:tc>
        <w:tc>
          <w:tcPr>
            <w:tcW w:w="3672" w:type="dxa"/>
            <w:shd w:val="clear" w:color="auto" w:fill="F5F8FC"/>
            <w:tcMar>
              <w:top w:w="115" w:type="dxa"/>
              <w:left w:w="115" w:type="dxa"/>
              <w:bottom w:w="115" w:type="dxa"/>
              <w:right w:w="115" w:type="dxa"/>
            </w:tcMar>
            <w:vAlign w:val="center"/>
          </w:tcPr>
          <w:p w14:paraId="0E3600CB" w14:textId="77777777" w:rsidR="00E0002C" w:rsidRDefault="00000000">
            <w:pPr>
              <w:spacing w:after="20"/>
            </w:pPr>
            <w:r>
              <w:rPr>
                <w:sz w:val="17"/>
              </w:rPr>
              <w:t>Use the resource-group location and the legalfirewall prefix.</w:t>
            </w:r>
          </w:p>
        </w:tc>
        <w:tc>
          <w:tcPr>
            <w:tcW w:w="4104" w:type="dxa"/>
            <w:shd w:val="clear" w:color="auto" w:fill="F5F8FC"/>
            <w:tcMar>
              <w:top w:w="115" w:type="dxa"/>
              <w:left w:w="115" w:type="dxa"/>
              <w:bottom w:w="115" w:type="dxa"/>
              <w:right w:w="115" w:type="dxa"/>
            </w:tcMar>
            <w:vAlign w:val="center"/>
          </w:tcPr>
          <w:p w14:paraId="48C9122F" w14:textId="77777777" w:rsidR="00E0002C" w:rsidRDefault="00000000">
            <w:pPr>
              <w:spacing w:after="20"/>
            </w:pPr>
            <w:r>
              <w:rPr>
                <w:sz w:val="17"/>
              </w:rPr>
              <w:t>Tests can predict region placement and resource-name patterns.</w:t>
            </w:r>
          </w:p>
        </w:tc>
      </w:tr>
      <w:tr w:rsidR="00E0002C" w14:paraId="6EBDFECB" w14:textId="77777777">
        <w:trPr>
          <w:jc w:val="center"/>
        </w:trPr>
        <w:tc>
          <w:tcPr>
            <w:tcW w:w="1944" w:type="dxa"/>
            <w:shd w:val="clear" w:color="auto" w:fill="FFFFFF"/>
            <w:tcMar>
              <w:top w:w="115" w:type="dxa"/>
              <w:left w:w="115" w:type="dxa"/>
              <w:bottom w:w="115" w:type="dxa"/>
              <w:right w:w="115" w:type="dxa"/>
            </w:tcMar>
            <w:vAlign w:val="center"/>
          </w:tcPr>
          <w:p w14:paraId="6C762CA6" w14:textId="77777777" w:rsidR="00E0002C" w:rsidRDefault="00000000">
            <w:pPr>
              <w:spacing w:after="20"/>
            </w:pPr>
            <w:r>
              <w:rPr>
                <w:sz w:val="17"/>
              </w:rPr>
              <w:t>Virtual Network</w:t>
            </w:r>
          </w:p>
        </w:tc>
        <w:tc>
          <w:tcPr>
            <w:tcW w:w="3672" w:type="dxa"/>
            <w:shd w:val="clear" w:color="auto" w:fill="FFFFFF"/>
            <w:tcMar>
              <w:top w:w="115" w:type="dxa"/>
              <w:left w:w="115" w:type="dxa"/>
              <w:bottom w:w="115" w:type="dxa"/>
              <w:right w:w="115" w:type="dxa"/>
            </w:tcMar>
            <w:vAlign w:val="center"/>
          </w:tcPr>
          <w:p w14:paraId="0C9BDC6F" w14:textId="77777777" w:rsidR="00E0002C" w:rsidRDefault="00000000">
            <w:pPr>
              <w:spacing w:after="20"/>
            </w:pPr>
            <w:r>
              <w:rPr>
                <w:sz w:val="17"/>
              </w:rPr>
              <w:t>Create 10.0.0.0/16 with AppSubnet at 10.0.1.0/24.</w:t>
            </w:r>
          </w:p>
        </w:tc>
        <w:tc>
          <w:tcPr>
            <w:tcW w:w="4104" w:type="dxa"/>
            <w:shd w:val="clear" w:color="auto" w:fill="FFFFFF"/>
            <w:tcMar>
              <w:top w:w="115" w:type="dxa"/>
              <w:left w:w="115" w:type="dxa"/>
              <w:bottom w:w="115" w:type="dxa"/>
              <w:right w:w="115" w:type="dxa"/>
            </w:tcMar>
            <w:vAlign w:val="center"/>
          </w:tcPr>
          <w:p w14:paraId="5264592D" w14:textId="77777777" w:rsidR="00E0002C" w:rsidRDefault="00000000">
            <w:pPr>
              <w:spacing w:after="20"/>
            </w:pPr>
            <w:r>
              <w:rPr>
                <w:sz w:val="17"/>
              </w:rPr>
              <w:t>Tests can confirm that the intended network foundation exists before private integrations are added.</w:t>
            </w:r>
          </w:p>
        </w:tc>
      </w:tr>
      <w:tr w:rsidR="00E0002C" w14:paraId="35BD607E" w14:textId="77777777">
        <w:trPr>
          <w:jc w:val="center"/>
        </w:trPr>
        <w:tc>
          <w:tcPr>
            <w:tcW w:w="1944" w:type="dxa"/>
            <w:shd w:val="clear" w:color="auto" w:fill="F5F8FC"/>
            <w:tcMar>
              <w:top w:w="115" w:type="dxa"/>
              <w:left w:w="115" w:type="dxa"/>
              <w:bottom w:w="115" w:type="dxa"/>
              <w:right w:w="115" w:type="dxa"/>
            </w:tcMar>
            <w:vAlign w:val="center"/>
          </w:tcPr>
          <w:p w14:paraId="09E49DB9" w14:textId="77777777" w:rsidR="00E0002C" w:rsidRDefault="00000000">
            <w:pPr>
              <w:spacing w:after="20"/>
            </w:pPr>
            <w:r>
              <w:rPr>
                <w:sz w:val="17"/>
              </w:rPr>
              <w:t>Key Vault</w:t>
            </w:r>
          </w:p>
        </w:tc>
        <w:tc>
          <w:tcPr>
            <w:tcW w:w="3672" w:type="dxa"/>
            <w:shd w:val="clear" w:color="auto" w:fill="F5F8FC"/>
            <w:tcMar>
              <w:top w:w="115" w:type="dxa"/>
              <w:left w:w="115" w:type="dxa"/>
              <w:bottom w:w="115" w:type="dxa"/>
              <w:right w:w="115" w:type="dxa"/>
            </w:tcMar>
            <w:vAlign w:val="center"/>
          </w:tcPr>
          <w:p w14:paraId="22836BF2" w14:textId="77777777" w:rsidR="00E0002C" w:rsidRDefault="00000000">
            <w:pPr>
              <w:spacing w:after="20"/>
            </w:pPr>
            <w:r>
              <w:rPr>
                <w:sz w:val="17"/>
              </w:rPr>
              <w:t>Create a Standard vault with an empty accessPolicies array and deployment integration flags enabled.</w:t>
            </w:r>
          </w:p>
        </w:tc>
        <w:tc>
          <w:tcPr>
            <w:tcW w:w="4104" w:type="dxa"/>
            <w:shd w:val="clear" w:color="auto" w:fill="F5F8FC"/>
            <w:tcMar>
              <w:top w:w="115" w:type="dxa"/>
              <w:left w:w="115" w:type="dxa"/>
              <w:bottom w:w="115" w:type="dxa"/>
              <w:right w:w="115" w:type="dxa"/>
            </w:tcMar>
            <w:vAlign w:val="center"/>
          </w:tcPr>
          <w:p w14:paraId="26D0DD0F" w14:textId="77777777" w:rsidR="00E0002C" w:rsidRDefault="00000000">
            <w:pPr>
              <w:spacing w:after="20"/>
            </w:pPr>
            <w:r>
              <w:rPr>
                <w:sz w:val="17"/>
              </w:rPr>
              <w:t>Tests can verify vault provisioning and later confirm that the chosen authorization model is added.</w:t>
            </w:r>
          </w:p>
        </w:tc>
      </w:tr>
      <w:tr w:rsidR="00E0002C" w14:paraId="71A92241" w14:textId="77777777">
        <w:trPr>
          <w:jc w:val="center"/>
        </w:trPr>
        <w:tc>
          <w:tcPr>
            <w:tcW w:w="1944" w:type="dxa"/>
            <w:shd w:val="clear" w:color="auto" w:fill="FFFFFF"/>
            <w:tcMar>
              <w:top w:w="115" w:type="dxa"/>
              <w:left w:w="115" w:type="dxa"/>
              <w:bottom w:w="115" w:type="dxa"/>
              <w:right w:w="115" w:type="dxa"/>
            </w:tcMar>
            <w:vAlign w:val="center"/>
          </w:tcPr>
          <w:p w14:paraId="3D2B85A9" w14:textId="77777777" w:rsidR="00E0002C" w:rsidRDefault="00000000">
            <w:pPr>
              <w:spacing w:after="20"/>
            </w:pPr>
            <w:r>
              <w:rPr>
                <w:sz w:val="17"/>
              </w:rPr>
              <w:t>Cosmos DB</w:t>
            </w:r>
          </w:p>
        </w:tc>
        <w:tc>
          <w:tcPr>
            <w:tcW w:w="3672" w:type="dxa"/>
            <w:shd w:val="clear" w:color="auto" w:fill="FFFFFF"/>
            <w:tcMar>
              <w:top w:w="115" w:type="dxa"/>
              <w:left w:w="115" w:type="dxa"/>
              <w:bottom w:w="115" w:type="dxa"/>
              <w:right w:w="115" w:type="dxa"/>
            </w:tcMar>
            <w:vAlign w:val="center"/>
          </w:tcPr>
          <w:p w14:paraId="49B36D99" w14:textId="77777777" w:rsidR="00E0002C" w:rsidRDefault="00000000">
            <w:pPr>
              <w:spacing w:after="20"/>
            </w:pPr>
            <w:r>
              <w:rPr>
                <w:sz w:val="17"/>
              </w:rPr>
              <w:t>Create a GlobalDocumentDB account with one primary location.</w:t>
            </w:r>
          </w:p>
        </w:tc>
        <w:tc>
          <w:tcPr>
            <w:tcW w:w="4104" w:type="dxa"/>
            <w:shd w:val="clear" w:color="auto" w:fill="FFFFFF"/>
            <w:tcMar>
              <w:top w:w="115" w:type="dxa"/>
              <w:left w:w="115" w:type="dxa"/>
              <w:bottom w:w="115" w:type="dxa"/>
              <w:right w:w="115" w:type="dxa"/>
            </w:tcMar>
            <w:vAlign w:val="center"/>
          </w:tcPr>
          <w:p w14:paraId="0380722F" w14:textId="77777777" w:rsidR="00E0002C" w:rsidRDefault="00000000">
            <w:pPr>
              <w:spacing w:after="20"/>
            </w:pPr>
            <w:r>
              <w:rPr>
                <w:sz w:val="17"/>
              </w:rPr>
              <w:t>Tests can verify account creation before database, container, partitioning, and retention tests are introduced.</w:t>
            </w:r>
          </w:p>
        </w:tc>
      </w:tr>
      <w:tr w:rsidR="00E0002C" w14:paraId="3AA55910" w14:textId="77777777">
        <w:trPr>
          <w:jc w:val="center"/>
        </w:trPr>
        <w:tc>
          <w:tcPr>
            <w:tcW w:w="1944" w:type="dxa"/>
            <w:shd w:val="clear" w:color="auto" w:fill="F5F8FC"/>
            <w:tcMar>
              <w:top w:w="115" w:type="dxa"/>
              <w:left w:w="115" w:type="dxa"/>
              <w:bottom w:w="115" w:type="dxa"/>
              <w:right w:w="115" w:type="dxa"/>
            </w:tcMar>
            <w:vAlign w:val="center"/>
          </w:tcPr>
          <w:p w14:paraId="009405C3" w14:textId="77777777" w:rsidR="00E0002C" w:rsidRDefault="00000000">
            <w:pPr>
              <w:spacing w:after="20"/>
            </w:pPr>
            <w:r>
              <w:rPr>
                <w:sz w:val="17"/>
              </w:rPr>
              <w:t>Azure OpenAI</w:t>
            </w:r>
          </w:p>
        </w:tc>
        <w:tc>
          <w:tcPr>
            <w:tcW w:w="3672" w:type="dxa"/>
            <w:shd w:val="clear" w:color="auto" w:fill="F5F8FC"/>
            <w:tcMar>
              <w:top w:w="115" w:type="dxa"/>
              <w:left w:w="115" w:type="dxa"/>
              <w:bottom w:w="115" w:type="dxa"/>
              <w:right w:w="115" w:type="dxa"/>
            </w:tcMar>
            <w:vAlign w:val="center"/>
          </w:tcPr>
          <w:p w14:paraId="49ADBDEA" w14:textId="77777777" w:rsidR="00E0002C" w:rsidRDefault="00000000">
            <w:pPr>
              <w:spacing w:after="20"/>
            </w:pPr>
            <w:r>
              <w:rPr>
                <w:sz w:val="17"/>
              </w:rPr>
              <w:t>Create an S0 OpenAI account, custom subdomain, and disabled public network access.</w:t>
            </w:r>
          </w:p>
        </w:tc>
        <w:tc>
          <w:tcPr>
            <w:tcW w:w="4104" w:type="dxa"/>
            <w:shd w:val="clear" w:color="auto" w:fill="F5F8FC"/>
            <w:tcMar>
              <w:top w:w="115" w:type="dxa"/>
              <w:left w:w="115" w:type="dxa"/>
              <w:bottom w:w="115" w:type="dxa"/>
              <w:right w:w="115" w:type="dxa"/>
            </w:tcMar>
            <w:vAlign w:val="center"/>
          </w:tcPr>
          <w:p w14:paraId="295B9D11" w14:textId="77777777" w:rsidR="00E0002C" w:rsidRDefault="00000000">
            <w:pPr>
              <w:spacing w:after="20"/>
            </w:pPr>
            <w:r>
              <w:rPr>
                <w:sz w:val="17"/>
              </w:rPr>
              <w:t>Tests can assert that public network access is disabled and then verify private connectivity after endpoints and DNS are added.</w:t>
            </w:r>
          </w:p>
        </w:tc>
      </w:tr>
    </w:tbl>
    <w:p w14:paraId="74568404" w14:textId="77777777" w:rsidR="00E0002C" w:rsidRDefault="00E0002C">
      <w:pPr>
        <w:spacing w:after="20"/>
      </w:pPr>
    </w:p>
    <w:p w14:paraId="3613790D" w14:textId="77777777" w:rsidR="00E0002C" w:rsidRDefault="00E0002C">
      <w:pPr>
        <w:sectPr w:rsidR="00E0002C">
          <w:headerReference w:type="default" r:id="rId8"/>
          <w:footerReference w:type="default" r:id="rId9"/>
          <w:pgSz w:w="12240" w:h="15840"/>
          <w:pgMar w:top="893" w:right="1037" w:bottom="893" w:left="1037" w:header="720" w:footer="720" w:gutter="0"/>
          <w:cols w:space="720"/>
          <w:docGrid w:linePitch="360"/>
        </w:sectPr>
      </w:pPr>
    </w:p>
    <w:p w14:paraId="2417BB45" w14:textId="77777777" w:rsidR="00E0002C" w:rsidRDefault="00000000">
      <w:pPr>
        <w:jc w:val="center"/>
      </w:pPr>
      <w:r>
        <w:rPr>
          <w:b/>
          <w:color w:val="12233F"/>
          <w:sz w:val="36"/>
        </w:rPr>
        <w:t>Runtests Infrastructure Validation Flow</w:t>
      </w:r>
    </w:p>
    <w:p w14:paraId="3D780DD9" w14:textId="77777777" w:rsidR="00E0002C" w:rsidRDefault="00000000">
      <w:pPr>
        <w:spacing w:after="80"/>
        <w:jc w:val="center"/>
      </w:pPr>
      <w:r>
        <w:rPr>
          <w:i/>
          <w:color w:val="5E6A78"/>
          <w:sz w:val="18"/>
        </w:rPr>
        <w:t>Deploy the fixture, validate declared controls, then run service and application checks</w:t>
      </w:r>
    </w:p>
    <w:p w14:paraId="41B8181F" w14:textId="77777777" w:rsidR="00E0002C" w:rsidRDefault="00000000">
      <w:pPr>
        <w:jc w:val="center"/>
      </w:pPr>
      <w:r>
        <w:rPr>
          <w:noProof/>
        </w:rPr>
        <w:drawing>
          <wp:inline distT="0" distB="0" distL="0" distR="0" wp14:anchorId="4DA31430" wp14:editId="044A5CC5">
            <wp:extent cx="8321040" cy="5547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56512cb50.png"/>
                    <pic:cNvPicPr/>
                  </pic:nvPicPr>
                  <pic:blipFill>
                    <a:blip r:embed="rId10"/>
                    <a:stretch>
                      <a:fillRect/>
                    </a:stretch>
                  </pic:blipFill>
                  <pic:spPr>
                    <a:xfrm>
                      <a:off x="0" y="0"/>
                      <a:ext cx="8321040" cy="5547360"/>
                    </a:xfrm>
                    <a:prstGeom prst="rect">
                      <a:avLst/>
                    </a:prstGeom>
                  </pic:spPr>
                </pic:pic>
              </a:graphicData>
            </a:graphic>
          </wp:inline>
        </w:drawing>
      </w:r>
    </w:p>
    <w:p w14:paraId="4E823261" w14:textId="77777777" w:rsidR="00E0002C" w:rsidRDefault="00000000">
      <w:pPr>
        <w:jc w:val="center"/>
      </w:pPr>
      <w:r>
        <w:rPr>
          <w:i/>
          <w:color w:val="D95F02"/>
          <w:sz w:val="16"/>
        </w:rPr>
        <w:t>The illustration represents the intended target architecture. The current definition does not yet declare private endpoints, private DNS, identities, databases, containers, model deployments, or monitoring.</w:t>
      </w:r>
    </w:p>
    <w:p w14:paraId="73D39A43" w14:textId="77777777" w:rsidR="00E0002C" w:rsidRDefault="00E0002C">
      <w:pPr>
        <w:sectPr w:rsidR="00E0002C">
          <w:pgSz w:w="15840" w:h="12240" w:orient="landscape"/>
          <w:pgMar w:top="648" w:right="648" w:bottom="648" w:left="648" w:header="720" w:footer="720" w:gutter="0"/>
          <w:cols w:space="720"/>
          <w:docGrid w:linePitch="360"/>
        </w:sectPr>
      </w:pPr>
    </w:p>
    <w:p w14:paraId="17D1F32E" w14:textId="77777777" w:rsidR="00E0002C" w:rsidRDefault="00000000">
      <w:pPr>
        <w:pStyle w:val="Heading1"/>
      </w:pPr>
      <w:r>
        <w:t>What Runtests_TS Should Prove</w:t>
      </w:r>
    </w:p>
    <w:p w14:paraId="6C6AE27B" w14:textId="77777777" w:rsidR="00E0002C" w:rsidRDefault="00000000">
      <w:pPr>
        <w:spacing w:after="120" w:line="269" w:lineRule="auto"/>
      </w:pPr>
      <w:r>
        <w:t>The most useful role for runtests_ts is to convert the intended infrastructure design into pass-or-fail evidence. The following checks are recommended test objectives, not claims that the supplied file already implements them.</w:t>
      </w:r>
    </w:p>
    <w:tbl>
      <w:tblPr>
        <w:tblStyle w:val="TableGrid"/>
        <w:tblW w:w="0" w:type="auto"/>
        <w:jc w:val="center"/>
        <w:tblLayout w:type="fixed"/>
        <w:tblLook w:val="04A0" w:firstRow="1" w:lastRow="0" w:firstColumn="1" w:lastColumn="0" w:noHBand="0" w:noVBand="1"/>
      </w:tblPr>
      <w:tblGrid>
        <w:gridCol w:w="1944"/>
        <w:gridCol w:w="4752"/>
        <w:gridCol w:w="3024"/>
      </w:tblGrid>
      <w:tr w:rsidR="00E0002C" w14:paraId="2192ACE8" w14:textId="77777777">
        <w:trPr>
          <w:jc w:val="center"/>
        </w:trPr>
        <w:tc>
          <w:tcPr>
            <w:tcW w:w="1944" w:type="dxa"/>
            <w:shd w:val="clear" w:color="auto" w:fill="12233F"/>
            <w:tcMar>
              <w:top w:w="115" w:type="dxa"/>
              <w:left w:w="115" w:type="dxa"/>
              <w:bottom w:w="115" w:type="dxa"/>
              <w:right w:w="115" w:type="dxa"/>
            </w:tcMar>
          </w:tcPr>
          <w:p w14:paraId="5B7F806B" w14:textId="77777777" w:rsidR="00E0002C" w:rsidRDefault="00000000">
            <w:pPr>
              <w:jc w:val="center"/>
            </w:pPr>
            <w:r>
              <w:rPr>
                <w:b/>
                <w:color w:val="FFFFFF"/>
                <w:sz w:val="17"/>
              </w:rPr>
              <w:t>Test Layer</w:t>
            </w:r>
          </w:p>
        </w:tc>
        <w:tc>
          <w:tcPr>
            <w:tcW w:w="4752" w:type="dxa"/>
            <w:shd w:val="clear" w:color="auto" w:fill="12233F"/>
            <w:tcMar>
              <w:top w:w="115" w:type="dxa"/>
              <w:left w:w="115" w:type="dxa"/>
              <w:bottom w:w="115" w:type="dxa"/>
              <w:right w:w="115" w:type="dxa"/>
            </w:tcMar>
          </w:tcPr>
          <w:p w14:paraId="456E6CE6" w14:textId="77777777" w:rsidR="00E0002C" w:rsidRDefault="00000000">
            <w:pPr>
              <w:jc w:val="center"/>
            </w:pPr>
            <w:r>
              <w:rPr>
                <w:b/>
                <w:color w:val="FFFFFF"/>
                <w:sz w:val="17"/>
              </w:rPr>
              <w:t>Recommended Assertion</w:t>
            </w:r>
          </w:p>
        </w:tc>
        <w:tc>
          <w:tcPr>
            <w:tcW w:w="3024" w:type="dxa"/>
            <w:shd w:val="clear" w:color="auto" w:fill="12233F"/>
            <w:tcMar>
              <w:top w:w="115" w:type="dxa"/>
              <w:left w:w="115" w:type="dxa"/>
              <w:bottom w:w="115" w:type="dxa"/>
              <w:right w:w="115" w:type="dxa"/>
            </w:tcMar>
          </w:tcPr>
          <w:p w14:paraId="3854A034" w14:textId="77777777" w:rsidR="00E0002C" w:rsidRDefault="00000000">
            <w:pPr>
              <w:jc w:val="center"/>
            </w:pPr>
            <w:r>
              <w:rPr>
                <w:b/>
                <w:color w:val="FFFFFF"/>
                <w:sz w:val="17"/>
              </w:rPr>
              <w:t>Evidence Produced</w:t>
            </w:r>
          </w:p>
        </w:tc>
      </w:tr>
      <w:tr w:rsidR="00E0002C" w14:paraId="5762A107" w14:textId="77777777">
        <w:trPr>
          <w:jc w:val="center"/>
        </w:trPr>
        <w:tc>
          <w:tcPr>
            <w:tcW w:w="1944" w:type="dxa"/>
            <w:shd w:val="clear" w:color="auto" w:fill="F5F8FC"/>
            <w:tcMar>
              <w:top w:w="115" w:type="dxa"/>
              <w:left w:w="115" w:type="dxa"/>
              <w:bottom w:w="115" w:type="dxa"/>
              <w:right w:w="115" w:type="dxa"/>
            </w:tcMar>
            <w:vAlign w:val="center"/>
          </w:tcPr>
          <w:p w14:paraId="12FFF4BC" w14:textId="77777777" w:rsidR="00E0002C" w:rsidRDefault="00000000">
            <w:pPr>
              <w:spacing w:after="20"/>
            </w:pPr>
            <w:r>
              <w:rPr>
                <w:sz w:val="17"/>
              </w:rPr>
              <w:t>Template validation</w:t>
            </w:r>
          </w:p>
        </w:tc>
        <w:tc>
          <w:tcPr>
            <w:tcW w:w="4752" w:type="dxa"/>
            <w:shd w:val="clear" w:color="auto" w:fill="F5F8FC"/>
            <w:tcMar>
              <w:top w:w="115" w:type="dxa"/>
              <w:left w:w="115" w:type="dxa"/>
              <w:bottom w:w="115" w:type="dxa"/>
              <w:right w:w="115" w:type="dxa"/>
            </w:tcMar>
            <w:vAlign w:val="center"/>
          </w:tcPr>
          <w:p w14:paraId="005C8979" w14:textId="77777777" w:rsidR="00E0002C" w:rsidRDefault="00000000">
            <w:pPr>
              <w:spacing w:after="20"/>
            </w:pPr>
            <w:r>
              <w:rPr>
                <w:sz w:val="17"/>
              </w:rPr>
              <w:t>The Bicep compiles and required parameters resolve.</w:t>
            </w:r>
          </w:p>
        </w:tc>
        <w:tc>
          <w:tcPr>
            <w:tcW w:w="3024" w:type="dxa"/>
            <w:shd w:val="clear" w:color="auto" w:fill="F5F8FC"/>
            <w:tcMar>
              <w:top w:w="115" w:type="dxa"/>
              <w:left w:w="115" w:type="dxa"/>
              <w:bottom w:w="115" w:type="dxa"/>
              <w:right w:w="115" w:type="dxa"/>
            </w:tcMar>
            <w:vAlign w:val="center"/>
          </w:tcPr>
          <w:p w14:paraId="79128AC5" w14:textId="77777777" w:rsidR="00E0002C" w:rsidRDefault="00000000">
            <w:pPr>
              <w:spacing w:after="20"/>
            </w:pPr>
            <w:r>
              <w:rPr>
                <w:sz w:val="17"/>
              </w:rPr>
              <w:t>Build result and deployment-plan output.</w:t>
            </w:r>
          </w:p>
        </w:tc>
      </w:tr>
      <w:tr w:rsidR="00E0002C" w14:paraId="247C4975" w14:textId="77777777">
        <w:trPr>
          <w:jc w:val="center"/>
        </w:trPr>
        <w:tc>
          <w:tcPr>
            <w:tcW w:w="1944" w:type="dxa"/>
            <w:shd w:val="clear" w:color="auto" w:fill="FFFFFF"/>
            <w:tcMar>
              <w:top w:w="115" w:type="dxa"/>
              <w:left w:w="115" w:type="dxa"/>
              <w:bottom w:w="115" w:type="dxa"/>
              <w:right w:w="115" w:type="dxa"/>
            </w:tcMar>
            <w:vAlign w:val="center"/>
          </w:tcPr>
          <w:p w14:paraId="7DC85C56" w14:textId="77777777" w:rsidR="00E0002C" w:rsidRDefault="00000000">
            <w:pPr>
              <w:spacing w:after="20"/>
            </w:pPr>
            <w:r>
              <w:rPr>
                <w:sz w:val="17"/>
              </w:rPr>
              <w:t>Deployment</w:t>
            </w:r>
          </w:p>
        </w:tc>
        <w:tc>
          <w:tcPr>
            <w:tcW w:w="4752" w:type="dxa"/>
            <w:shd w:val="clear" w:color="auto" w:fill="FFFFFF"/>
            <w:tcMar>
              <w:top w:w="115" w:type="dxa"/>
              <w:left w:w="115" w:type="dxa"/>
              <w:bottom w:w="115" w:type="dxa"/>
              <w:right w:w="115" w:type="dxa"/>
            </w:tcMar>
            <w:vAlign w:val="center"/>
          </w:tcPr>
          <w:p w14:paraId="0A8B446F" w14:textId="77777777" w:rsidR="00E0002C" w:rsidRDefault="00000000">
            <w:pPr>
              <w:spacing w:after="20"/>
            </w:pPr>
            <w:r>
              <w:rPr>
                <w:sz w:val="17"/>
              </w:rPr>
              <w:t>All four declared resource accounts provision successfully in the selected resource group.</w:t>
            </w:r>
          </w:p>
        </w:tc>
        <w:tc>
          <w:tcPr>
            <w:tcW w:w="3024" w:type="dxa"/>
            <w:shd w:val="clear" w:color="auto" w:fill="FFFFFF"/>
            <w:tcMar>
              <w:top w:w="115" w:type="dxa"/>
              <w:left w:w="115" w:type="dxa"/>
              <w:bottom w:w="115" w:type="dxa"/>
              <w:right w:w="115" w:type="dxa"/>
            </w:tcMar>
            <w:vAlign w:val="center"/>
          </w:tcPr>
          <w:p w14:paraId="1BCD0D19" w14:textId="77777777" w:rsidR="00E0002C" w:rsidRDefault="00000000">
            <w:pPr>
              <w:spacing w:after="20"/>
            </w:pPr>
            <w:r>
              <w:rPr>
                <w:sz w:val="17"/>
              </w:rPr>
              <w:t>Deployment status and resource identifiers.</w:t>
            </w:r>
          </w:p>
        </w:tc>
      </w:tr>
      <w:tr w:rsidR="00E0002C" w14:paraId="554A13AC" w14:textId="77777777">
        <w:trPr>
          <w:jc w:val="center"/>
        </w:trPr>
        <w:tc>
          <w:tcPr>
            <w:tcW w:w="1944" w:type="dxa"/>
            <w:shd w:val="clear" w:color="auto" w:fill="F5F8FC"/>
            <w:tcMar>
              <w:top w:w="115" w:type="dxa"/>
              <w:left w:w="115" w:type="dxa"/>
              <w:bottom w:w="115" w:type="dxa"/>
              <w:right w:w="115" w:type="dxa"/>
            </w:tcMar>
            <w:vAlign w:val="center"/>
          </w:tcPr>
          <w:p w14:paraId="4F1ACB05" w14:textId="77777777" w:rsidR="00E0002C" w:rsidRDefault="00000000">
            <w:pPr>
              <w:spacing w:after="20"/>
            </w:pPr>
            <w:r>
              <w:rPr>
                <w:sz w:val="17"/>
              </w:rPr>
              <w:t>Naming</w:t>
            </w:r>
          </w:p>
        </w:tc>
        <w:tc>
          <w:tcPr>
            <w:tcW w:w="4752" w:type="dxa"/>
            <w:shd w:val="clear" w:color="auto" w:fill="F5F8FC"/>
            <w:tcMar>
              <w:top w:w="115" w:type="dxa"/>
              <w:left w:w="115" w:type="dxa"/>
              <w:bottom w:w="115" w:type="dxa"/>
              <w:right w:w="115" w:type="dxa"/>
            </w:tcMar>
            <w:vAlign w:val="center"/>
          </w:tcPr>
          <w:p w14:paraId="51EB5D86" w14:textId="77777777" w:rsidR="00E0002C" w:rsidRDefault="00000000">
            <w:pPr>
              <w:spacing w:after="20"/>
            </w:pPr>
            <w:r>
              <w:rPr>
                <w:sz w:val="17"/>
              </w:rPr>
              <w:t>Names use the legalfirewall prefix and unique-string suffix where declared.</w:t>
            </w:r>
          </w:p>
        </w:tc>
        <w:tc>
          <w:tcPr>
            <w:tcW w:w="3024" w:type="dxa"/>
            <w:shd w:val="clear" w:color="auto" w:fill="F5F8FC"/>
            <w:tcMar>
              <w:top w:w="115" w:type="dxa"/>
              <w:left w:w="115" w:type="dxa"/>
              <w:bottom w:w="115" w:type="dxa"/>
              <w:right w:w="115" w:type="dxa"/>
            </w:tcMar>
            <w:vAlign w:val="center"/>
          </w:tcPr>
          <w:p w14:paraId="4D6FCE4C" w14:textId="77777777" w:rsidR="00E0002C" w:rsidRDefault="00000000">
            <w:pPr>
              <w:spacing w:after="20"/>
            </w:pPr>
            <w:r>
              <w:rPr>
                <w:sz w:val="17"/>
              </w:rPr>
              <w:t>Resource inventory comparison.</w:t>
            </w:r>
          </w:p>
        </w:tc>
      </w:tr>
      <w:tr w:rsidR="00E0002C" w14:paraId="1363FAB2" w14:textId="77777777">
        <w:trPr>
          <w:jc w:val="center"/>
        </w:trPr>
        <w:tc>
          <w:tcPr>
            <w:tcW w:w="1944" w:type="dxa"/>
            <w:shd w:val="clear" w:color="auto" w:fill="FFFFFF"/>
            <w:tcMar>
              <w:top w:w="115" w:type="dxa"/>
              <w:left w:w="115" w:type="dxa"/>
              <w:bottom w:w="115" w:type="dxa"/>
              <w:right w:w="115" w:type="dxa"/>
            </w:tcMar>
            <w:vAlign w:val="center"/>
          </w:tcPr>
          <w:p w14:paraId="15E19410" w14:textId="77777777" w:rsidR="00E0002C" w:rsidRDefault="00000000">
            <w:pPr>
              <w:spacing w:after="20"/>
            </w:pPr>
            <w:r>
              <w:rPr>
                <w:sz w:val="17"/>
              </w:rPr>
              <w:t>Network</w:t>
            </w:r>
          </w:p>
        </w:tc>
        <w:tc>
          <w:tcPr>
            <w:tcW w:w="4752" w:type="dxa"/>
            <w:shd w:val="clear" w:color="auto" w:fill="FFFFFF"/>
            <w:tcMar>
              <w:top w:w="115" w:type="dxa"/>
              <w:left w:w="115" w:type="dxa"/>
              <w:bottom w:w="115" w:type="dxa"/>
              <w:right w:w="115" w:type="dxa"/>
            </w:tcMar>
            <w:vAlign w:val="center"/>
          </w:tcPr>
          <w:p w14:paraId="09F9F6D8" w14:textId="77777777" w:rsidR="00E0002C" w:rsidRDefault="00000000">
            <w:pPr>
              <w:spacing w:after="20"/>
            </w:pPr>
            <w:r>
              <w:rPr>
                <w:sz w:val="17"/>
              </w:rPr>
              <w:t>The VNet and AppSubnet use the declared address prefixes without overlap.</w:t>
            </w:r>
          </w:p>
        </w:tc>
        <w:tc>
          <w:tcPr>
            <w:tcW w:w="3024" w:type="dxa"/>
            <w:shd w:val="clear" w:color="auto" w:fill="FFFFFF"/>
            <w:tcMar>
              <w:top w:w="115" w:type="dxa"/>
              <w:left w:w="115" w:type="dxa"/>
              <w:bottom w:w="115" w:type="dxa"/>
              <w:right w:w="115" w:type="dxa"/>
            </w:tcMar>
            <w:vAlign w:val="center"/>
          </w:tcPr>
          <w:p w14:paraId="557F6574" w14:textId="77777777" w:rsidR="00E0002C" w:rsidRDefault="00000000">
            <w:pPr>
              <w:spacing w:after="20"/>
            </w:pPr>
            <w:r>
              <w:rPr>
                <w:sz w:val="17"/>
              </w:rPr>
              <w:t>Network resource properties.</w:t>
            </w:r>
          </w:p>
        </w:tc>
      </w:tr>
      <w:tr w:rsidR="00E0002C" w14:paraId="0B1BB925" w14:textId="77777777">
        <w:trPr>
          <w:jc w:val="center"/>
        </w:trPr>
        <w:tc>
          <w:tcPr>
            <w:tcW w:w="1944" w:type="dxa"/>
            <w:shd w:val="clear" w:color="auto" w:fill="F5F8FC"/>
            <w:tcMar>
              <w:top w:w="115" w:type="dxa"/>
              <w:left w:w="115" w:type="dxa"/>
              <w:bottom w:w="115" w:type="dxa"/>
              <w:right w:w="115" w:type="dxa"/>
            </w:tcMar>
            <w:vAlign w:val="center"/>
          </w:tcPr>
          <w:p w14:paraId="7D95332F" w14:textId="77777777" w:rsidR="00E0002C" w:rsidRDefault="00000000">
            <w:pPr>
              <w:spacing w:after="20"/>
            </w:pPr>
            <w:r>
              <w:rPr>
                <w:sz w:val="17"/>
              </w:rPr>
              <w:t>Key Vault</w:t>
            </w:r>
          </w:p>
        </w:tc>
        <w:tc>
          <w:tcPr>
            <w:tcW w:w="4752" w:type="dxa"/>
            <w:shd w:val="clear" w:color="auto" w:fill="F5F8FC"/>
            <w:tcMar>
              <w:top w:w="115" w:type="dxa"/>
              <w:left w:w="115" w:type="dxa"/>
              <w:bottom w:w="115" w:type="dxa"/>
              <w:right w:w="115" w:type="dxa"/>
            </w:tcMar>
            <w:vAlign w:val="center"/>
          </w:tcPr>
          <w:p w14:paraId="5FD99EF0" w14:textId="77777777" w:rsidR="00E0002C" w:rsidRDefault="00000000">
            <w:pPr>
              <w:spacing w:after="20"/>
            </w:pPr>
            <w:r>
              <w:rPr>
                <w:sz w:val="17"/>
              </w:rPr>
              <w:t>The vault exists and the final implementation uses an explicitly tested authorization and network configuration.</w:t>
            </w:r>
          </w:p>
        </w:tc>
        <w:tc>
          <w:tcPr>
            <w:tcW w:w="3024" w:type="dxa"/>
            <w:shd w:val="clear" w:color="auto" w:fill="F5F8FC"/>
            <w:tcMar>
              <w:top w:w="115" w:type="dxa"/>
              <w:left w:w="115" w:type="dxa"/>
              <w:bottom w:w="115" w:type="dxa"/>
              <w:right w:w="115" w:type="dxa"/>
            </w:tcMar>
            <w:vAlign w:val="center"/>
          </w:tcPr>
          <w:p w14:paraId="3AB3499C" w14:textId="77777777" w:rsidR="00E0002C" w:rsidRDefault="00000000">
            <w:pPr>
              <w:spacing w:after="20"/>
            </w:pPr>
            <w:r>
              <w:rPr>
                <w:sz w:val="17"/>
              </w:rPr>
              <w:t>Access-control and connectivity test results.</w:t>
            </w:r>
          </w:p>
        </w:tc>
      </w:tr>
      <w:tr w:rsidR="00E0002C" w14:paraId="2281DB49" w14:textId="77777777">
        <w:trPr>
          <w:jc w:val="center"/>
        </w:trPr>
        <w:tc>
          <w:tcPr>
            <w:tcW w:w="1944" w:type="dxa"/>
            <w:shd w:val="clear" w:color="auto" w:fill="FFFFFF"/>
            <w:tcMar>
              <w:top w:w="115" w:type="dxa"/>
              <w:left w:w="115" w:type="dxa"/>
              <w:bottom w:w="115" w:type="dxa"/>
              <w:right w:w="115" w:type="dxa"/>
            </w:tcMar>
            <w:vAlign w:val="center"/>
          </w:tcPr>
          <w:p w14:paraId="419A8141" w14:textId="77777777" w:rsidR="00E0002C" w:rsidRDefault="00000000">
            <w:pPr>
              <w:spacing w:after="20"/>
            </w:pPr>
            <w:r>
              <w:rPr>
                <w:sz w:val="17"/>
              </w:rPr>
              <w:t>Cosmos DB</w:t>
            </w:r>
          </w:p>
        </w:tc>
        <w:tc>
          <w:tcPr>
            <w:tcW w:w="4752" w:type="dxa"/>
            <w:shd w:val="clear" w:color="auto" w:fill="FFFFFF"/>
            <w:tcMar>
              <w:top w:w="115" w:type="dxa"/>
              <w:left w:w="115" w:type="dxa"/>
              <w:bottom w:w="115" w:type="dxa"/>
              <w:right w:w="115" w:type="dxa"/>
            </w:tcMar>
            <w:vAlign w:val="center"/>
          </w:tcPr>
          <w:p w14:paraId="5F5D7905" w14:textId="77777777" w:rsidR="00E0002C" w:rsidRDefault="00000000">
            <w:pPr>
              <w:spacing w:after="20"/>
            </w:pPr>
            <w:r>
              <w:rPr>
                <w:sz w:val="17"/>
              </w:rPr>
              <w:t>The account exists; later tests validate database, container, authorization, backup, and private access configuration.</w:t>
            </w:r>
          </w:p>
        </w:tc>
        <w:tc>
          <w:tcPr>
            <w:tcW w:w="3024" w:type="dxa"/>
            <w:shd w:val="clear" w:color="auto" w:fill="FFFFFF"/>
            <w:tcMar>
              <w:top w:w="115" w:type="dxa"/>
              <w:left w:w="115" w:type="dxa"/>
              <w:bottom w:w="115" w:type="dxa"/>
              <w:right w:w="115" w:type="dxa"/>
            </w:tcMar>
            <w:vAlign w:val="center"/>
          </w:tcPr>
          <w:p w14:paraId="1FF8AFED" w14:textId="77777777" w:rsidR="00E0002C" w:rsidRDefault="00000000">
            <w:pPr>
              <w:spacing w:after="20"/>
            </w:pPr>
            <w:r>
              <w:rPr>
                <w:sz w:val="17"/>
              </w:rPr>
              <w:t>Data-plane and control-plane test results.</w:t>
            </w:r>
          </w:p>
        </w:tc>
      </w:tr>
      <w:tr w:rsidR="00E0002C" w14:paraId="2EC770FF" w14:textId="77777777">
        <w:trPr>
          <w:jc w:val="center"/>
        </w:trPr>
        <w:tc>
          <w:tcPr>
            <w:tcW w:w="1944" w:type="dxa"/>
            <w:shd w:val="clear" w:color="auto" w:fill="F5F8FC"/>
            <w:tcMar>
              <w:top w:w="115" w:type="dxa"/>
              <w:left w:w="115" w:type="dxa"/>
              <w:bottom w:w="115" w:type="dxa"/>
              <w:right w:w="115" w:type="dxa"/>
            </w:tcMar>
            <w:vAlign w:val="center"/>
          </w:tcPr>
          <w:p w14:paraId="6AC63E3B" w14:textId="77777777" w:rsidR="00E0002C" w:rsidRDefault="00000000">
            <w:pPr>
              <w:spacing w:after="20"/>
            </w:pPr>
            <w:r>
              <w:rPr>
                <w:sz w:val="17"/>
              </w:rPr>
              <w:t>Azure OpenAI</w:t>
            </w:r>
          </w:p>
        </w:tc>
        <w:tc>
          <w:tcPr>
            <w:tcW w:w="4752" w:type="dxa"/>
            <w:shd w:val="clear" w:color="auto" w:fill="F5F8FC"/>
            <w:tcMar>
              <w:top w:w="115" w:type="dxa"/>
              <w:left w:w="115" w:type="dxa"/>
              <w:bottom w:w="115" w:type="dxa"/>
              <w:right w:w="115" w:type="dxa"/>
            </w:tcMar>
            <w:vAlign w:val="center"/>
          </w:tcPr>
          <w:p w14:paraId="524E5EE9" w14:textId="77777777" w:rsidR="00E0002C" w:rsidRDefault="00000000">
            <w:pPr>
              <w:spacing w:after="20"/>
            </w:pPr>
            <w:r>
              <w:rPr>
                <w:sz w:val="17"/>
              </w:rPr>
              <w:t>publicNetworkAccess equals Disabled; later tests confirm approved private resolution and access.</w:t>
            </w:r>
          </w:p>
        </w:tc>
        <w:tc>
          <w:tcPr>
            <w:tcW w:w="3024" w:type="dxa"/>
            <w:shd w:val="clear" w:color="auto" w:fill="F5F8FC"/>
            <w:tcMar>
              <w:top w:w="115" w:type="dxa"/>
              <w:left w:w="115" w:type="dxa"/>
              <w:bottom w:w="115" w:type="dxa"/>
              <w:right w:w="115" w:type="dxa"/>
            </w:tcMar>
            <w:vAlign w:val="center"/>
          </w:tcPr>
          <w:p w14:paraId="239BE5B1" w14:textId="77777777" w:rsidR="00E0002C" w:rsidRDefault="00000000">
            <w:pPr>
              <w:spacing w:after="20"/>
            </w:pPr>
            <w:r>
              <w:rPr>
                <w:sz w:val="17"/>
              </w:rPr>
              <w:t>Configuration assertion and private connectivity result.</w:t>
            </w:r>
          </w:p>
        </w:tc>
      </w:tr>
      <w:tr w:rsidR="00E0002C" w14:paraId="179E5FCB" w14:textId="77777777">
        <w:trPr>
          <w:jc w:val="center"/>
        </w:trPr>
        <w:tc>
          <w:tcPr>
            <w:tcW w:w="1944" w:type="dxa"/>
            <w:shd w:val="clear" w:color="auto" w:fill="FFFFFF"/>
            <w:tcMar>
              <w:top w:w="115" w:type="dxa"/>
              <w:left w:w="115" w:type="dxa"/>
              <w:bottom w:w="115" w:type="dxa"/>
              <w:right w:w="115" w:type="dxa"/>
            </w:tcMar>
            <w:vAlign w:val="center"/>
          </w:tcPr>
          <w:p w14:paraId="3446BB3B" w14:textId="77777777" w:rsidR="00E0002C" w:rsidRDefault="00000000">
            <w:pPr>
              <w:spacing w:after="20"/>
            </w:pPr>
            <w:r>
              <w:rPr>
                <w:sz w:val="17"/>
              </w:rPr>
              <w:t>Negative security</w:t>
            </w:r>
          </w:p>
        </w:tc>
        <w:tc>
          <w:tcPr>
            <w:tcW w:w="4752" w:type="dxa"/>
            <w:shd w:val="clear" w:color="auto" w:fill="FFFFFF"/>
            <w:tcMar>
              <w:top w:w="115" w:type="dxa"/>
              <w:left w:w="115" w:type="dxa"/>
              <w:bottom w:w="115" w:type="dxa"/>
              <w:right w:w="115" w:type="dxa"/>
            </w:tcMar>
            <w:vAlign w:val="center"/>
          </w:tcPr>
          <w:p w14:paraId="1889A30C" w14:textId="77777777" w:rsidR="00E0002C" w:rsidRDefault="00000000">
            <w:pPr>
              <w:spacing w:after="20"/>
            </w:pPr>
            <w:r>
              <w:rPr>
                <w:sz w:val="17"/>
              </w:rPr>
              <w:t>Public or unauthorized paths fail once the complete private-access design is implemented.</w:t>
            </w:r>
          </w:p>
        </w:tc>
        <w:tc>
          <w:tcPr>
            <w:tcW w:w="3024" w:type="dxa"/>
            <w:shd w:val="clear" w:color="auto" w:fill="FFFFFF"/>
            <w:tcMar>
              <w:top w:w="115" w:type="dxa"/>
              <w:left w:w="115" w:type="dxa"/>
              <w:bottom w:w="115" w:type="dxa"/>
              <w:right w:w="115" w:type="dxa"/>
            </w:tcMar>
            <w:vAlign w:val="center"/>
          </w:tcPr>
          <w:p w14:paraId="7340CA50" w14:textId="77777777" w:rsidR="00E0002C" w:rsidRDefault="00000000">
            <w:pPr>
              <w:spacing w:after="20"/>
            </w:pPr>
            <w:r>
              <w:rPr>
                <w:sz w:val="17"/>
              </w:rPr>
              <w:t>Expected-denial results and security logs.</w:t>
            </w:r>
          </w:p>
        </w:tc>
      </w:tr>
      <w:tr w:rsidR="00E0002C" w14:paraId="4072F534" w14:textId="77777777">
        <w:trPr>
          <w:jc w:val="center"/>
        </w:trPr>
        <w:tc>
          <w:tcPr>
            <w:tcW w:w="1944" w:type="dxa"/>
            <w:shd w:val="clear" w:color="auto" w:fill="F5F8FC"/>
            <w:tcMar>
              <w:top w:w="115" w:type="dxa"/>
              <w:left w:w="115" w:type="dxa"/>
              <w:bottom w:w="115" w:type="dxa"/>
              <w:right w:w="115" w:type="dxa"/>
            </w:tcMar>
            <w:vAlign w:val="center"/>
          </w:tcPr>
          <w:p w14:paraId="31CDA49F" w14:textId="77777777" w:rsidR="00E0002C" w:rsidRDefault="00000000">
            <w:pPr>
              <w:spacing w:after="20"/>
            </w:pPr>
            <w:r>
              <w:rPr>
                <w:sz w:val="17"/>
              </w:rPr>
              <w:t>Cleanup and repeatability</w:t>
            </w:r>
          </w:p>
        </w:tc>
        <w:tc>
          <w:tcPr>
            <w:tcW w:w="4752" w:type="dxa"/>
            <w:shd w:val="clear" w:color="auto" w:fill="F5F8FC"/>
            <w:tcMar>
              <w:top w:w="115" w:type="dxa"/>
              <w:left w:w="115" w:type="dxa"/>
              <w:bottom w:w="115" w:type="dxa"/>
              <w:right w:w="115" w:type="dxa"/>
            </w:tcMar>
            <w:vAlign w:val="center"/>
          </w:tcPr>
          <w:p w14:paraId="3931323E" w14:textId="77777777" w:rsidR="00E0002C" w:rsidRDefault="00000000">
            <w:pPr>
              <w:spacing w:after="20"/>
            </w:pPr>
            <w:r>
              <w:rPr>
                <w:sz w:val="17"/>
              </w:rPr>
              <w:t>A test environment can be redeployed consistently and removed without orphaned resources.</w:t>
            </w:r>
          </w:p>
        </w:tc>
        <w:tc>
          <w:tcPr>
            <w:tcW w:w="3024" w:type="dxa"/>
            <w:shd w:val="clear" w:color="auto" w:fill="F5F8FC"/>
            <w:tcMar>
              <w:top w:w="115" w:type="dxa"/>
              <w:left w:w="115" w:type="dxa"/>
              <w:bottom w:w="115" w:type="dxa"/>
              <w:right w:w="115" w:type="dxa"/>
            </w:tcMar>
            <w:vAlign w:val="center"/>
          </w:tcPr>
          <w:p w14:paraId="2F613D21" w14:textId="77777777" w:rsidR="00E0002C" w:rsidRDefault="00000000">
            <w:pPr>
              <w:spacing w:after="20"/>
            </w:pPr>
            <w:r>
              <w:rPr>
                <w:sz w:val="17"/>
              </w:rPr>
              <w:t>Repeated deployment comparison and cleanup report.</w:t>
            </w:r>
          </w:p>
        </w:tc>
      </w:tr>
    </w:tbl>
    <w:p w14:paraId="15359A0B" w14:textId="77777777" w:rsidR="00E0002C" w:rsidRDefault="00E0002C">
      <w:pPr>
        <w:spacing w:after="20"/>
      </w:pPr>
    </w:p>
    <w:p w14:paraId="44635CC8" w14:textId="77777777" w:rsidR="00E0002C" w:rsidRDefault="00000000">
      <w:pPr>
        <w:pStyle w:val="Heading1"/>
      </w:pPr>
      <w:r>
        <w:t>Why This Is Important to DRE</w:t>
      </w:r>
    </w:p>
    <w:p w14:paraId="32EB34C1" w14:textId="77777777" w:rsidR="00E0002C" w:rsidRDefault="00000000">
      <w:pPr>
        <w:pStyle w:val="ListBullet"/>
        <w:spacing w:after="60"/>
        <w:ind w:left="317"/>
      </w:pPr>
      <w:r>
        <w:t>Reliability: repeatable infrastructure reduces differences between development, test, pilot, and production-like environments.</w:t>
      </w:r>
    </w:p>
    <w:p w14:paraId="0453B0A0" w14:textId="77777777" w:rsidR="00E0002C" w:rsidRDefault="00000000">
      <w:pPr>
        <w:pStyle w:val="ListBullet"/>
        <w:spacing w:after="60"/>
        <w:ind w:left="317"/>
      </w:pPr>
      <w:r>
        <w:t>Security evidence: assertions make restricted access and authorization testable instead of relying on architectural intent alone.</w:t>
      </w:r>
    </w:p>
    <w:p w14:paraId="19AB9BCE" w14:textId="77777777" w:rsidR="00E0002C" w:rsidRDefault="00000000">
      <w:pPr>
        <w:pStyle w:val="ListBullet"/>
        <w:spacing w:after="60"/>
        <w:ind w:left="317"/>
      </w:pPr>
      <w:r>
        <w:t>Auditability: deployment output and test results create traceable evidence showing which configuration was evaluated.</w:t>
      </w:r>
    </w:p>
    <w:p w14:paraId="6784F1B8" w14:textId="77777777" w:rsidR="00E0002C" w:rsidRDefault="00000000">
      <w:pPr>
        <w:pStyle w:val="ListBullet"/>
        <w:spacing w:after="60"/>
        <w:ind w:left="317"/>
      </w:pPr>
      <w:r>
        <w:t>Change control: when the Bicep changes, runtests_ts can detect unexpected differences before a release advances.</w:t>
      </w:r>
    </w:p>
    <w:p w14:paraId="723A0F69" w14:textId="77777777" w:rsidR="00E0002C" w:rsidRDefault="00000000">
      <w:pPr>
        <w:pStyle w:val="ListBullet"/>
        <w:spacing w:after="60"/>
        <w:ind w:left="317"/>
      </w:pPr>
      <w:r>
        <w:t>Investor and customer credibility: tested controls support more disciplined claims than diagrams or comments alone.</w:t>
      </w:r>
    </w:p>
    <w:p w14:paraId="386E1ABE" w14:textId="77777777" w:rsidR="00E0002C" w:rsidRDefault="00000000">
      <w:pPr>
        <w:pStyle w:val="ListBullet"/>
        <w:spacing w:after="60"/>
        <w:ind w:left="317"/>
      </w:pPr>
      <w:r>
        <w:t>Faster troubleshooting: failed tests identify whether a defect belongs to infrastructure, connectivity, identity, data storage, or application behavior.</w:t>
      </w:r>
    </w:p>
    <w:tbl>
      <w:tblPr>
        <w:tblW w:w="0" w:type="auto"/>
        <w:jc w:val="center"/>
        <w:tblLayout w:type="fixed"/>
        <w:tblLook w:val="04A0" w:firstRow="1" w:lastRow="0" w:firstColumn="1" w:lastColumn="0" w:noHBand="0" w:noVBand="1"/>
      </w:tblPr>
      <w:tblGrid>
        <w:gridCol w:w="259"/>
        <w:gridCol w:w="9432"/>
      </w:tblGrid>
      <w:tr w:rsidR="00E0002C" w14:paraId="58342AA0" w14:textId="77777777">
        <w:trPr>
          <w:jc w:val="center"/>
        </w:trPr>
        <w:tc>
          <w:tcPr>
            <w:tcW w:w="259" w:type="dxa"/>
            <w:shd w:val="clear" w:color="auto" w:fill="6F42C1"/>
          </w:tcPr>
          <w:p w14:paraId="7304BE91" w14:textId="77777777" w:rsidR="00E0002C" w:rsidRDefault="00E0002C"/>
        </w:tc>
        <w:tc>
          <w:tcPr>
            <w:tcW w:w="9432" w:type="dxa"/>
            <w:shd w:val="clear" w:color="auto" w:fill="F3EEFB"/>
            <w:tcMar>
              <w:top w:w="150" w:type="dxa"/>
              <w:left w:w="150" w:type="dxa"/>
              <w:bottom w:w="150" w:type="dxa"/>
              <w:right w:w="150" w:type="dxa"/>
            </w:tcMar>
          </w:tcPr>
          <w:p w14:paraId="180FAED3" w14:textId="77777777" w:rsidR="00E0002C" w:rsidRDefault="00000000">
            <w:r>
              <w:rPr>
                <w:b/>
                <w:color w:val="12233F"/>
                <w:sz w:val="21"/>
              </w:rPr>
              <w:t>KEY DISTINCTION</w:t>
            </w:r>
          </w:p>
          <w:p w14:paraId="2CB288BB" w14:textId="77777777" w:rsidR="00E0002C" w:rsidRDefault="00000000">
            <w:pPr>
              <w:spacing w:after="40" w:line="259" w:lineRule="auto"/>
            </w:pPr>
            <w:r>
              <w:t>The Bicep file defines the environment. The runtests_ts logic should verify the environment. Keeping those roles separate makes failures easier to diagnose and helps preserve a clean evidence trail.</w:t>
            </w:r>
          </w:p>
        </w:tc>
      </w:tr>
    </w:tbl>
    <w:p w14:paraId="64541AE8" w14:textId="77777777" w:rsidR="00E0002C" w:rsidRDefault="00E0002C">
      <w:pPr>
        <w:spacing w:after="20"/>
      </w:pPr>
    </w:p>
    <w:p w14:paraId="09992DDF" w14:textId="77777777" w:rsidR="00E0002C" w:rsidRDefault="00000000">
      <w:pPr>
        <w:pStyle w:val="Heading1"/>
      </w:pPr>
      <w:r>
        <w:t>Current Limitations and Test Gaps</w:t>
      </w:r>
    </w:p>
    <w:p w14:paraId="54817397" w14:textId="77777777" w:rsidR="00E0002C" w:rsidRDefault="00000000">
      <w:pPr>
        <w:spacing w:after="120" w:line="269" w:lineRule="auto"/>
      </w:pPr>
      <w:r>
        <w:t>The comments describe an isolated, high-security target, but the supplied declarations do not yet implement the complete target. The test plan should expose these gaps rather than assuming them away.</w:t>
      </w:r>
    </w:p>
    <w:tbl>
      <w:tblPr>
        <w:tblStyle w:val="TableGrid"/>
        <w:tblW w:w="0" w:type="auto"/>
        <w:jc w:val="center"/>
        <w:tblLayout w:type="fixed"/>
        <w:tblLook w:val="04A0" w:firstRow="1" w:lastRow="0" w:firstColumn="1" w:lastColumn="0" w:noHBand="0" w:noVBand="1"/>
      </w:tblPr>
      <w:tblGrid>
        <w:gridCol w:w="2376"/>
        <w:gridCol w:w="3600"/>
        <w:gridCol w:w="3744"/>
      </w:tblGrid>
      <w:tr w:rsidR="00E0002C" w14:paraId="428E6790" w14:textId="77777777">
        <w:trPr>
          <w:jc w:val="center"/>
        </w:trPr>
        <w:tc>
          <w:tcPr>
            <w:tcW w:w="2376" w:type="dxa"/>
            <w:shd w:val="clear" w:color="auto" w:fill="12233F"/>
            <w:tcMar>
              <w:top w:w="115" w:type="dxa"/>
              <w:left w:w="115" w:type="dxa"/>
              <w:bottom w:w="115" w:type="dxa"/>
              <w:right w:w="115" w:type="dxa"/>
            </w:tcMar>
          </w:tcPr>
          <w:p w14:paraId="053C4ED0" w14:textId="77777777" w:rsidR="00E0002C" w:rsidRDefault="00000000">
            <w:pPr>
              <w:jc w:val="center"/>
            </w:pPr>
            <w:r>
              <w:rPr>
                <w:b/>
                <w:color w:val="FFFFFF"/>
                <w:sz w:val="17"/>
              </w:rPr>
              <w:t>Gap</w:t>
            </w:r>
          </w:p>
        </w:tc>
        <w:tc>
          <w:tcPr>
            <w:tcW w:w="3600" w:type="dxa"/>
            <w:shd w:val="clear" w:color="auto" w:fill="12233F"/>
            <w:tcMar>
              <w:top w:w="115" w:type="dxa"/>
              <w:left w:w="115" w:type="dxa"/>
              <w:bottom w:w="115" w:type="dxa"/>
              <w:right w:w="115" w:type="dxa"/>
            </w:tcMar>
          </w:tcPr>
          <w:p w14:paraId="75A824B3" w14:textId="77777777" w:rsidR="00E0002C" w:rsidRDefault="00000000">
            <w:pPr>
              <w:jc w:val="center"/>
            </w:pPr>
            <w:r>
              <w:rPr>
                <w:b/>
                <w:color w:val="FFFFFF"/>
                <w:sz w:val="17"/>
              </w:rPr>
              <w:t>Why a Test Should Catch It</w:t>
            </w:r>
          </w:p>
        </w:tc>
        <w:tc>
          <w:tcPr>
            <w:tcW w:w="3744" w:type="dxa"/>
            <w:shd w:val="clear" w:color="auto" w:fill="12233F"/>
            <w:tcMar>
              <w:top w:w="115" w:type="dxa"/>
              <w:left w:w="115" w:type="dxa"/>
              <w:bottom w:w="115" w:type="dxa"/>
              <w:right w:w="115" w:type="dxa"/>
            </w:tcMar>
          </w:tcPr>
          <w:p w14:paraId="4E94EE7F" w14:textId="77777777" w:rsidR="00E0002C" w:rsidRDefault="00000000">
            <w:pPr>
              <w:jc w:val="center"/>
            </w:pPr>
            <w:r>
              <w:rPr>
                <w:b/>
                <w:color w:val="FFFFFF"/>
                <w:sz w:val="17"/>
              </w:rPr>
              <w:t>Expected Future Validation</w:t>
            </w:r>
          </w:p>
        </w:tc>
      </w:tr>
      <w:tr w:rsidR="00E0002C" w14:paraId="0AE1946D" w14:textId="77777777">
        <w:trPr>
          <w:jc w:val="center"/>
        </w:trPr>
        <w:tc>
          <w:tcPr>
            <w:tcW w:w="2376" w:type="dxa"/>
            <w:shd w:val="clear" w:color="auto" w:fill="F5F8FC"/>
            <w:tcMar>
              <w:top w:w="115" w:type="dxa"/>
              <w:left w:w="115" w:type="dxa"/>
              <w:bottom w:w="115" w:type="dxa"/>
              <w:right w:w="115" w:type="dxa"/>
            </w:tcMar>
            <w:vAlign w:val="center"/>
          </w:tcPr>
          <w:p w14:paraId="6C27C897" w14:textId="77777777" w:rsidR="00E0002C" w:rsidRDefault="00000000">
            <w:pPr>
              <w:spacing w:after="20"/>
            </w:pPr>
            <w:r>
              <w:rPr>
                <w:sz w:val="17"/>
              </w:rPr>
              <w:t>No private endpoints or private DNS</w:t>
            </w:r>
          </w:p>
        </w:tc>
        <w:tc>
          <w:tcPr>
            <w:tcW w:w="3600" w:type="dxa"/>
            <w:shd w:val="clear" w:color="auto" w:fill="F5F8FC"/>
            <w:tcMar>
              <w:top w:w="115" w:type="dxa"/>
              <w:left w:w="115" w:type="dxa"/>
              <w:bottom w:w="115" w:type="dxa"/>
              <w:right w:w="115" w:type="dxa"/>
            </w:tcMar>
            <w:vAlign w:val="center"/>
          </w:tcPr>
          <w:p w14:paraId="4D473B6C" w14:textId="77777777" w:rsidR="00E0002C" w:rsidRDefault="00000000">
            <w:pPr>
              <w:spacing w:after="20"/>
            </w:pPr>
            <w:r>
              <w:rPr>
                <w:sz w:val="17"/>
              </w:rPr>
              <w:t>Disabling public access does not itself create a reachable private path.</w:t>
            </w:r>
          </w:p>
        </w:tc>
        <w:tc>
          <w:tcPr>
            <w:tcW w:w="3744" w:type="dxa"/>
            <w:shd w:val="clear" w:color="auto" w:fill="F5F8FC"/>
            <w:tcMar>
              <w:top w:w="115" w:type="dxa"/>
              <w:left w:w="115" w:type="dxa"/>
              <w:bottom w:w="115" w:type="dxa"/>
              <w:right w:w="115" w:type="dxa"/>
            </w:tcMar>
            <w:vAlign w:val="center"/>
          </w:tcPr>
          <w:p w14:paraId="40BF6DBC" w14:textId="77777777" w:rsidR="00E0002C" w:rsidRDefault="00000000">
            <w:pPr>
              <w:spacing w:after="20"/>
            </w:pPr>
            <w:r>
              <w:rPr>
                <w:sz w:val="17"/>
              </w:rPr>
              <w:t>Confirm private name resolution, private IP routing, and denied public access.</w:t>
            </w:r>
          </w:p>
        </w:tc>
      </w:tr>
      <w:tr w:rsidR="00E0002C" w14:paraId="53960181" w14:textId="77777777">
        <w:trPr>
          <w:jc w:val="center"/>
        </w:trPr>
        <w:tc>
          <w:tcPr>
            <w:tcW w:w="2376" w:type="dxa"/>
            <w:shd w:val="clear" w:color="auto" w:fill="FFFFFF"/>
            <w:tcMar>
              <w:top w:w="115" w:type="dxa"/>
              <w:left w:w="115" w:type="dxa"/>
              <w:bottom w:w="115" w:type="dxa"/>
              <w:right w:w="115" w:type="dxa"/>
            </w:tcMar>
            <w:vAlign w:val="center"/>
          </w:tcPr>
          <w:p w14:paraId="0B07C5E2" w14:textId="77777777" w:rsidR="00E0002C" w:rsidRDefault="00000000">
            <w:pPr>
              <w:spacing w:after="20"/>
            </w:pPr>
            <w:r>
              <w:rPr>
                <w:sz w:val="17"/>
              </w:rPr>
              <w:t>No role assignments or managed identities</w:t>
            </w:r>
          </w:p>
        </w:tc>
        <w:tc>
          <w:tcPr>
            <w:tcW w:w="3600" w:type="dxa"/>
            <w:shd w:val="clear" w:color="auto" w:fill="FFFFFF"/>
            <w:tcMar>
              <w:top w:w="115" w:type="dxa"/>
              <w:left w:w="115" w:type="dxa"/>
              <w:bottom w:w="115" w:type="dxa"/>
              <w:right w:w="115" w:type="dxa"/>
            </w:tcMar>
            <w:vAlign w:val="center"/>
          </w:tcPr>
          <w:p w14:paraId="443F2FFD" w14:textId="77777777" w:rsidR="00E0002C" w:rsidRDefault="00000000">
            <w:pPr>
              <w:spacing w:after="20"/>
            </w:pPr>
            <w:r>
              <w:rPr>
                <w:sz w:val="17"/>
              </w:rPr>
              <w:t>The vault has an empty accessPolicies array and no alternate authorization is declared here.</w:t>
            </w:r>
          </w:p>
        </w:tc>
        <w:tc>
          <w:tcPr>
            <w:tcW w:w="3744" w:type="dxa"/>
            <w:shd w:val="clear" w:color="auto" w:fill="FFFFFF"/>
            <w:tcMar>
              <w:top w:w="115" w:type="dxa"/>
              <w:left w:w="115" w:type="dxa"/>
              <w:bottom w:w="115" w:type="dxa"/>
              <w:right w:w="115" w:type="dxa"/>
            </w:tcMar>
            <w:vAlign w:val="center"/>
          </w:tcPr>
          <w:p w14:paraId="4720E24A" w14:textId="77777777" w:rsidR="00E0002C" w:rsidRDefault="00000000">
            <w:pPr>
              <w:spacing w:after="20"/>
            </w:pPr>
            <w:r>
              <w:rPr>
                <w:sz w:val="17"/>
              </w:rPr>
              <w:t>Confirm least-privilege application and deployment identities.</w:t>
            </w:r>
          </w:p>
        </w:tc>
      </w:tr>
      <w:tr w:rsidR="00E0002C" w14:paraId="187C0459" w14:textId="77777777">
        <w:trPr>
          <w:jc w:val="center"/>
        </w:trPr>
        <w:tc>
          <w:tcPr>
            <w:tcW w:w="2376" w:type="dxa"/>
            <w:shd w:val="clear" w:color="auto" w:fill="F5F8FC"/>
            <w:tcMar>
              <w:top w:w="115" w:type="dxa"/>
              <w:left w:w="115" w:type="dxa"/>
              <w:bottom w:w="115" w:type="dxa"/>
              <w:right w:w="115" w:type="dxa"/>
            </w:tcMar>
            <w:vAlign w:val="center"/>
          </w:tcPr>
          <w:p w14:paraId="3CC49CC9" w14:textId="77777777" w:rsidR="00E0002C" w:rsidRDefault="00000000">
            <w:pPr>
              <w:spacing w:after="20"/>
            </w:pPr>
            <w:r>
              <w:rPr>
                <w:sz w:val="17"/>
              </w:rPr>
              <w:t>No Cosmos database or container</w:t>
            </w:r>
          </w:p>
        </w:tc>
        <w:tc>
          <w:tcPr>
            <w:tcW w:w="3600" w:type="dxa"/>
            <w:shd w:val="clear" w:color="auto" w:fill="F5F8FC"/>
            <w:tcMar>
              <w:top w:w="115" w:type="dxa"/>
              <w:left w:w="115" w:type="dxa"/>
              <w:bottom w:w="115" w:type="dxa"/>
              <w:right w:w="115" w:type="dxa"/>
            </w:tcMar>
            <w:vAlign w:val="center"/>
          </w:tcPr>
          <w:p w14:paraId="5DBFAC93" w14:textId="77777777" w:rsidR="00E0002C" w:rsidRDefault="00000000">
            <w:pPr>
              <w:spacing w:after="20"/>
            </w:pPr>
            <w:r>
              <w:rPr>
                <w:sz w:val="17"/>
              </w:rPr>
              <w:t>The account alone does not define the audit data model.</w:t>
            </w:r>
          </w:p>
        </w:tc>
        <w:tc>
          <w:tcPr>
            <w:tcW w:w="3744" w:type="dxa"/>
            <w:shd w:val="clear" w:color="auto" w:fill="F5F8FC"/>
            <w:tcMar>
              <w:top w:w="115" w:type="dxa"/>
              <w:left w:w="115" w:type="dxa"/>
              <w:bottom w:w="115" w:type="dxa"/>
              <w:right w:w="115" w:type="dxa"/>
            </w:tcMar>
            <w:vAlign w:val="center"/>
          </w:tcPr>
          <w:p w14:paraId="1D4C7047" w14:textId="77777777" w:rsidR="00E0002C" w:rsidRDefault="00000000">
            <w:pPr>
              <w:spacing w:after="20"/>
            </w:pPr>
            <w:r>
              <w:rPr>
                <w:sz w:val="17"/>
              </w:rPr>
              <w:t>Confirm database/container creation, partition key, retention, and authorized data access.</w:t>
            </w:r>
          </w:p>
        </w:tc>
      </w:tr>
      <w:tr w:rsidR="00E0002C" w14:paraId="052231A5" w14:textId="77777777">
        <w:trPr>
          <w:jc w:val="center"/>
        </w:trPr>
        <w:tc>
          <w:tcPr>
            <w:tcW w:w="2376" w:type="dxa"/>
            <w:shd w:val="clear" w:color="auto" w:fill="FFFFFF"/>
            <w:tcMar>
              <w:top w:w="115" w:type="dxa"/>
              <w:left w:w="115" w:type="dxa"/>
              <w:bottom w:w="115" w:type="dxa"/>
              <w:right w:w="115" w:type="dxa"/>
            </w:tcMar>
            <w:vAlign w:val="center"/>
          </w:tcPr>
          <w:p w14:paraId="68BF98C8" w14:textId="77777777" w:rsidR="00E0002C" w:rsidRDefault="00000000">
            <w:pPr>
              <w:spacing w:after="20"/>
            </w:pPr>
            <w:r>
              <w:rPr>
                <w:sz w:val="17"/>
              </w:rPr>
              <w:t>No Azure OpenAI model deployment</w:t>
            </w:r>
          </w:p>
        </w:tc>
        <w:tc>
          <w:tcPr>
            <w:tcW w:w="3600" w:type="dxa"/>
            <w:shd w:val="clear" w:color="auto" w:fill="FFFFFF"/>
            <w:tcMar>
              <w:top w:w="115" w:type="dxa"/>
              <w:left w:w="115" w:type="dxa"/>
              <w:bottom w:w="115" w:type="dxa"/>
              <w:right w:w="115" w:type="dxa"/>
            </w:tcMar>
            <w:vAlign w:val="center"/>
          </w:tcPr>
          <w:p w14:paraId="19551151" w14:textId="77777777" w:rsidR="00E0002C" w:rsidRDefault="00000000">
            <w:pPr>
              <w:spacing w:after="20"/>
            </w:pPr>
            <w:r>
              <w:rPr>
                <w:sz w:val="17"/>
              </w:rPr>
              <w:t>The account does not identify a deployed model for application calls.</w:t>
            </w:r>
          </w:p>
        </w:tc>
        <w:tc>
          <w:tcPr>
            <w:tcW w:w="3744" w:type="dxa"/>
            <w:shd w:val="clear" w:color="auto" w:fill="FFFFFF"/>
            <w:tcMar>
              <w:top w:w="115" w:type="dxa"/>
              <w:left w:w="115" w:type="dxa"/>
              <w:bottom w:w="115" w:type="dxa"/>
              <w:right w:w="115" w:type="dxa"/>
            </w:tcMar>
            <w:vAlign w:val="center"/>
          </w:tcPr>
          <w:p w14:paraId="6F86100A" w14:textId="77777777" w:rsidR="00E0002C" w:rsidRDefault="00000000">
            <w:pPr>
              <w:spacing w:after="20"/>
            </w:pPr>
            <w:r>
              <w:rPr>
                <w:sz w:val="17"/>
              </w:rPr>
              <w:t>Confirm approved model deployment, quotas, content controls, and private invocation.</w:t>
            </w:r>
          </w:p>
        </w:tc>
      </w:tr>
      <w:tr w:rsidR="00E0002C" w14:paraId="26038CB5" w14:textId="77777777">
        <w:trPr>
          <w:jc w:val="center"/>
        </w:trPr>
        <w:tc>
          <w:tcPr>
            <w:tcW w:w="2376" w:type="dxa"/>
            <w:shd w:val="clear" w:color="auto" w:fill="F5F8FC"/>
            <w:tcMar>
              <w:top w:w="115" w:type="dxa"/>
              <w:left w:w="115" w:type="dxa"/>
              <w:bottom w:w="115" w:type="dxa"/>
              <w:right w:w="115" w:type="dxa"/>
            </w:tcMar>
            <w:vAlign w:val="center"/>
          </w:tcPr>
          <w:p w14:paraId="0BD72A89" w14:textId="77777777" w:rsidR="00E0002C" w:rsidRDefault="00000000">
            <w:pPr>
              <w:spacing w:after="20"/>
            </w:pPr>
            <w:r>
              <w:rPr>
                <w:sz w:val="17"/>
              </w:rPr>
              <w:t>No diagnostics or monitoring</w:t>
            </w:r>
          </w:p>
        </w:tc>
        <w:tc>
          <w:tcPr>
            <w:tcW w:w="3600" w:type="dxa"/>
            <w:shd w:val="clear" w:color="auto" w:fill="F5F8FC"/>
            <w:tcMar>
              <w:top w:w="115" w:type="dxa"/>
              <w:left w:w="115" w:type="dxa"/>
              <w:bottom w:w="115" w:type="dxa"/>
              <w:right w:w="115" w:type="dxa"/>
            </w:tcMar>
            <w:vAlign w:val="center"/>
          </w:tcPr>
          <w:p w14:paraId="588787F5" w14:textId="77777777" w:rsidR="00E0002C" w:rsidRDefault="00000000">
            <w:pPr>
              <w:spacing w:after="20"/>
            </w:pPr>
            <w:r>
              <w:rPr>
                <w:sz w:val="17"/>
              </w:rPr>
              <w:t>Failures and access events are not routed by this file.</w:t>
            </w:r>
          </w:p>
        </w:tc>
        <w:tc>
          <w:tcPr>
            <w:tcW w:w="3744" w:type="dxa"/>
            <w:shd w:val="clear" w:color="auto" w:fill="F5F8FC"/>
            <w:tcMar>
              <w:top w:w="115" w:type="dxa"/>
              <w:left w:w="115" w:type="dxa"/>
              <w:bottom w:w="115" w:type="dxa"/>
              <w:right w:w="115" w:type="dxa"/>
            </w:tcMar>
            <w:vAlign w:val="center"/>
          </w:tcPr>
          <w:p w14:paraId="6277B910" w14:textId="77777777" w:rsidR="00E0002C" w:rsidRDefault="00000000">
            <w:pPr>
              <w:spacing w:after="20"/>
            </w:pPr>
            <w:r>
              <w:rPr>
                <w:sz w:val="17"/>
              </w:rPr>
              <w:t>Confirm diagnostic settings, log destinations, alerting, and correlation identifiers.</w:t>
            </w:r>
          </w:p>
        </w:tc>
      </w:tr>
      <w:tr w:rsidR="00E0002C" w14:paraId="6D298939" w14:textId="77777777">
        <w:trPr>
          <w:jc w:val="center"/>
        </w:trPr>
        <w:tc>
          <w:tcPr>
            <w:tcW w:w="2376" w:type="dxa"/>
            <w:shd w:val="clear" w:color="auto" w:fill="FFFFFF"/>
            <w:tcMar>
              <w:top w:w="115" w:type="dxa"/>
              <w:left w:w="115" w:type="dxa"/>
              <w:bottom w:w="115" w:type="dxa"/>
              <w:right w:w="115" w:type="dxa"/>
            </w:tcMar>
            <w:vAlign w:val="center"/>
          </w:tcPr>
          <w:p w14:paraId="7139B2D3" w14:textId="77777777" w:rsidR="00E0002C" w:rsidRDefault="00000000">
            <w:pPr>
              <w:spacing w:after="20"/>
            </w:pPr>
            <w:r>
              <w:rPr>
                <w:sz w:val="17"/>
              </w:rPr>
              <w:t>No environment lifecycle controls</w:t>
            </w:r>
          </w:p>
        </w:tc>
        <w:tc>
          <w:tcPr>
            <w:tcW w:w="3600" w:type="dxa"/>
            <w:shd w:val="clear" w:color="auto" w:fill="FFFFFF"/>
            <w:tcMar>
              <w:top w:w="115" w:type="dxa"/>
              <w:left w:w="115" w:type="dxa"/>
              <w:bottom w:w="115" w:type="dxa"/>
              <w:right w:w="115" w:type="dxa"/>
            </w:tcMar>
            <w:vAlign w:val="center"/>
          </w:tcPr>
          <w:p w14:paraId="4D8E35E6" w14:textId="77777777" w:rsidR="00E0002C" w:rsidRDefault="00000000">
            <w:pPr>
              <w:spacing w:after="20"/>
            </w:pPr>
            <w:r>
              <w:rPr>
                <w:sz w:val="17"/>
              </w:rPr>
              <w:t>The file does not show tags, locks, policy assignments, or teardown behavior.</w:t>
            </w:r>
          </w:p>
        </w:tc>
        <w:tc>
          <w:tcPr>
            <w:tcW w:w="3744" w:type="dxa"/>
            <w:shd w:val="clear" w:color="auto" w:fill="FFFFFF"/>
            <w:tcMar>
              <w:top w:w="115" w:type="dxa"/>
              <w:left w:w="115" w:type="dxa"/>
              <w:bottom w:w="115" w:type="dxa"/>
              <w:right w:w="115" w:type="dxa"/>
            </w:tcMar>
            <w:vAlign w:val="center"/>
          </w:tcPr>
          <w:p w14:paraId="63B68C19" w14:textId="77777777" w:rsidR="00E0002C" w:rsidRDefault="00000000">
            <w:pPr>
              <w:spacing w:after="20"/>
            </w:pPr>
            <w:r>
              <w:rPr>
                <w:sz w:val="17"/>
              </w:rPr>
              <w:t>Confirm ownership tags, policy compliance, safe cleanup, and absence of orphaned resources.</w:t>
            </w:r>
          </w:p>
        </w:tc>
      </w:tr>
    </w:tbl>
    <w:p w14:paraId="6D82505B" w14:textId="77777777" w:rsidR="00E0002C" w:rsidRDefault="00E0002C">
      <w:pPr>
        <w:spacing w:after="20"/>
      </w:pPr>
    </w:p>
    <w:p w14:paraId="3B51AE9E" w14:textId="77777777" w:rsidR="00E0002C" w:rsidRDefault="00000000">
      <w:pPr>
        <w:pStyle w:val="Heading1"/>
      </w:pPr>
      <w:r>
        <w:t>Recommended Runtests_TS Execution Pattern</w:t>
      </w:r>
    </w:p>
    <w:tbl>
      <w:tblPr>
        <w:tblStyle w:val="TableGrid"/>
        <w:tblW w:w="0" w:type="auto"/>
        <w:jc w:val="center"/>
        <w:tblLayout w:type="fixed"/>
        <w:tblLook w:val="04A0" w:firstRow="1" w:lastRow="0" w:firstColumn="1" w:lastColumn="0" w:noHBand="0" w:noVBand="1"/>
      </w:tblPr>
      <w:tblGrid>
        <w:gridCol w:w="1800"/>
        <w:gridCol w:w="4464"/>
        <w:gridCol w:w="3456"/>
      </w:tblGrid>
      <w:tr w:rsidR="00E0002C" w14:paraId="275FC4B9" w14:textId="77777777">
        <w:trPr>
          <w:jc w:val="center"/>
        </w:trPr>
        <w:tc>
          <w:tcPr>
            <w:tcW w:w="1800" w:type="dxa"/>
            <w:shd w:val="clear" w:color="auto" w:fill="12233F"/>
            <w:tcMar>
              <w:top w:w="115" w:type="dxa"/>
              <w:left w:w="115" w:type="dxa"/>
              <w:bottom w:w="115" w:type="dxa"/>
              <w:right w:w="115" w:type="dxa"/>
            </w:tcMar>
          </w:tcPr>
          <w:p w14:paraId="47A4AB1B" w14:textId="77777777" w:rsidR="00E0002C" w:rsidRDefault="00000000">
            <w:pPr>
              <w:jc w:val="center"/>
            </w:pPr>
            <w:r>
              <w:rPr>
                <w:b/>
                <w:color w:val="FFFFFF"/>
                <w:sz w:val="17"/>
              </w:rPr>
              <w:t>Stage</w:t>
            </w:r>
          </w:p>
        </w:tc>
        <w:tc>
          <w:tcPr>
            <w:tcW w:w="4464" w:type="dxa"/>
            <w:shd w:val="clear" w:color="auto" w:fill="12233F"/>
            <w:tcMar>
              <w:top w:w="115" w:type="dxa"/>
              <w:left w:w="115" w:type="dxa"/>
              <w:bottom w:w="115" w:type="dxa"/>
              <w:right w:w="115" w:type="dxa"/>
            </w:tcMar>
          </w:tcPr>
          <w:p w14:paraId="1344FE22" w14:textId="77777777" w:rsidR="00E0002C" w:rsidRDefault="00000000">
            <w:pPr>
              <w:jc w:val="center"/>
            </w:pPr>
            <w:r>
              <w:rPr>
                <w:b/>
                <w:color w:val="FFFFFF"/>
                <w:sz w:val="17"/>
              </w:rPr>
              <w:t>Purpose</w:t>
            </w:r>
          </w:p>
        </w:tc>
        <w:tc>
          <w:tcPr>
            <w:tcW w:w="3456" w:type="dxa"/>
            <w:shd w:val="clear" w:color="auto" w:fill="12233F"/>
            <w:tcMar>
              <w:top w:w="115" w:type="dxa"/>
              <w:left w:w="115" w:type="dxa"/>
              <w:bottom w:w="115" w:type="dxa"/>
              <w:right w:w="115" w:type="dxa"/>
            </w:tcMar>
          </w:tcPr>
          <w:p w14:paraId="58D6113A" w14:textId="77777777" w:rsidR="00E0002C" w:rsidRDefault="00000000">
            <w:pPr>
              <w:jc w:val="center"/>
            </w:pPr>
            <w:r>
              <w:rPr>
                <w:b/>
                <w:color w:val="FFFFFF"/>
                <w:sz w:val="17"/>
              </w:rPr>
              <w:t>Result</w:t>
            </w:r>
          </w:p>
        </w:tc>
      </w:tr>
      <w:tr w:rsidR="00E0002C" w14:paraId="7F880F04" w14:textId="77777777">
        <w:trPr>
          <w:jc w:val="center"/>
        </w:trPr>
        <w:tc>
          <w:tcPr>
            <w:tcW w:w="1800" w:type="dxa"/>
            <w:shd w:val="clear" w:color="auto" w:fill="F5F8FC"/>
            <w:tcMar>
              <w:top w:w="115" w:type="dxa"/>
              <w:left w:w="115" w:type="dxa"/>
              <w:bottom w:w="115" w:type="dxa"/>
              <w:right w:w="115" w:type="dxa"/>
            </w:tcMar>
            <w:vAlign w:val="center"/>
          </w:tcPr>
          <w:p w14:paraId="200AC134" w14:textId="77777777" w:rsidR="00E0002C" w:rsidRDefault="00000000">
            <w:pPr>
              <w:spacing w:after="20"/>
            </w:pPr>
            <w:r>
              <w:rPr>
                <w:sz w:val="17"/>
              </w:rPr>
              <w:t>1. Static checks</w:t>
            </w:r>
          </w:p>
        </w:tc>
        <w:tc>
          <w:tcPr>
            <w:tcW w:w="4464" w:type="dxa"/>
            <w:shd w:val="clear" w:color="auto" w:fill="F5F8FC"/>
            <w:tcMar>
              <w:top w:w="115" w:type="dxa"/>
              <w:left w:w="115" w:type="dxa"/>
              <w:bottom w:w="115" w:type="dxa"/>
              <w:right w:w="115" w:type="dxa"/>
            </w:tcMar>
            <w:vAlign w:val="center"/>
          </w:tcPr>
          <w:p w14:paraId="57A2B31E" w14:textId="77777777" w:rsidR="00E0002C" w:rsidRDefault="00000000">
            <w:pPr>
              <w:spacing w:after="20"/>
            </w:pPr>
            <w:r>
              <w:rPr>
                <w:sz w:val="17"/>
              </w:rPr>
              <w:t>Compile and lint Bicep, validate parameter constraints, and inspect the planned resource graph.</w:t>
            </w:r>
          </w:p>
        </w:tc>
        <w:tc>
          <w:tcPr>
            <w:tcW w:w="3456" w:type="dxa"/>
            <w:shd w:val="clear" w:color="auto" w:fill="F5F8FC"/>
            <w:tcMar>
              <w:top w:w="115" w:type="dxa"/>
              <w:left w:w="115" w:type="dxa"/>
              <w:bottom w:w="115" w:type="dxa"/>
              <w:right w:w="115" w:type="dxa"/>
            </w:tcMar>
            <w:vAlign w:val="center"/>
          </w:tcPr>
          <w:p w14:paraId="17BE6DD4" w14:textId="77777777" w:rsidR="00E0002C" w:rsidRDefault="00000000">
            <w:pPr>
              <w:spacing w:after="20"/>
            </w:pPr>
            <w:r>
              <w:rPr>
                <w:sz w:val="17"/>
              </w:rPr>
              <w:t>Reject malformed or unintended infrastructure before deployment.</w:t>
            </w:r>
          </w:p>
        </w:tc>
      </w:tr>
      <w:tr w:rsidR="00E0002C" w14:paraId="4FBEEF47" w14:textId="77777777">
        <w:trPr>
          <w:jc w:val="center"/>
        </w:trPr>
        <w:tc>
          <w:tcPr>
            <w:tcW w:w="1800" w:type="dxa"/>
            <w:shd w:val="clear" w:color="auto" w:fill="FFFFFF"/>
            <w:tcMar>
              <w:top w:w="115" w:type="dxa"/>
              <w:left w:w="115" w:type="dxa"/>
              <w:bottom w:w="115" w:type="dxa"/>
              <w:right w:w="115" w:type="dxa"/>
            </w:tcMar>
            <w:vAlign w:val="center"/>
          </w:tcPr>
          <w:p w14:paraId="21B504B7" w14:textId="77777777" w:rsidR="00E0002C" w:rsidRDefault="00000000">
            <w:pPr>
              <w:spacing w:after="20"/>
            </w:pPr>
            <w:r>
              <w:rPr>
                <w:sz w:val="17"/>
              </w:rPr>
              <w:t>2. Ephemeral deploy</w:t>
            </w:r>
          </w:p>
        </w:tc>
        <w:tc>
          <w:tcPr>
            <w:tcW w:w="4464" w:type="dxa"/>
            <w:shd w:val="clear" w:color="auto" w:fill="FFFFFF"/>
            <w:tcMar>
              <w:top w:w="115" w:type="dxa"/>
              <w:left w:w="115" w:type="dxa"/>
              <w:bottom w:w="115" w:type="dxa"/>
              <w:right w:w="115" w:type="dxa"/>
            </w:tcMar>
            <w:vAlign w:val="center"/>
          </w:tcPr>
          <w:p w14:paraId="3882A87D" w14:textId="77777777" w:rsidR="00E0002C" w:rsidRDefault="00000000">
            <w:pPr>
              <w:spacing w:after="20"/>
            </w:pPr>
            <w:r>
              <w:rPr>
                <w:sz w:val="17"/>
              </w:rPr>
              <w:t>Deploy to an authorized test resource group using a unique test run identifier.</w:t>
            </w:r>
          </w:p>
        </w:tc>
        <w:tc>
          <w:tcPr>
            <w:tcW w:w="3456" w:type="dxa"/>
            <w:shd w:val="clear" w:color="auto" w:fill="FFFFFF"/>
            <w:tcMar>
              <w:top w:w="115" w:type="dxa"/>
              <w:left w:w="115" w:type="dxa"/>
              <w:bottom w:w="115" w:type="dxa"/>
              <w:right w:w="115" w:type="dxa"/>
            </w:tcMar>
            <w:vAlign w:val="center"/>
          </w:tcPr>
          <w:p w14:paraId="07868C3F" w14:textId="77777777" w:rsidR="00E0002C" w:rsidRDefault="00000000">
            <w:pPr>
              <w:spacing w:after="20"/>
            </w:pPr>
            <w:r>
              <w:rPr>
                <w:sz w:val="17"/>
              </w:rPr>
              <w:t>Create an isolated, attributable test environment.</w:t>
            </w:r>
          </w:p>
        </w:tc>
      </w:tr>
      <w:tr w:rsidR="00E0002C" w14:paraId="1F4C155E" w14:textId="77777777">
        <w:trPr>
          <w:jc w:val="center"/>
        </w:trPr>
        <w:tc>
          <w:tcPr>
            <w:tcW w:w="1800" w:type="dxa"/>
            <w:shd w:val="clear" w:color="auto" w:fill="F5F8FC"/>
            <w:tcMar>
              <w:top w:w="115" w:type="dxa"/>
              <w:left w:w="115" w:type="dxa"/>
              <w:bottom w:w="115" w:type="dxa"/>
              <w:right w:w="115" w:type="dxa"/>
            </w:tcMar>
            <w:vAlign w:val="center"/>
          </w:tcPr>
          <w:p w14:paraId="6AEE5EF1" w14:textId="77777777" w:rsidR="00E0002C" w:rsidRDefault="00000000">
            <w:pPr>
              <w:spacing w:after="20"/>
            </w:pPr>
            <w:r>
              <w:rPr>
                <w:sz w:val="17"/>
              </w:rPr>
              <w:t>3. Control assertions</w:t>
            </w:r>
          </w:p>
        </w:tc>
        <w:tc>
          <w:tcPr>
            <w:tcW w:w="4464" w:type="dxa"/>
            <w:shd w:val="clear" w:color="auto" w:fill="F5F8FC"/>
            <w:tcMar>
              <w:top w:w="115" w:type="dxa"/>
              <w:left w:w="115" w:type="dxa"/>
              <w:bottom w:w="115" w:type="dxa"/>
              <w:right w:w="115" w:type="dxa"/>
            </w:tcMar>
            <w:vAlign w:val="center"/>
          </w:tcPr>
          <w:p w14:paraId="55BD2FD2" w14:textId="77777777" w:rsidR="00E0002C" w:rsidRDefault="00000000">
            <w:pPr>
              <w:spacing w:after="20"/>
            </w:pPr>
            <w:r>
              <w:rPr>
                <w:sz w:val="17"/>
              </w:rPr>
              <w:t>Read resource properties and compare them with the expected contract.</w:t>
            </w:r>
          </w:p>
        </w:tc>
        <w:tc>
          <w:tcPr>
            <w:tcW w:w="3456" w:type="dxa"/>
            <w:shd w:val="clear" w:color="auto" w:fill="F5F8FC"/>
            <w:tcMar>
              <w:top w:w="115" w:type="dxa"/>
              <w:left w:w="115" w:type="dxa"/>
              <w:bottom w:w="115" w:type="dxa"/>
              <w:right w:w="115" w:type="dxa"/>
            </w:tcMar>
            <w:vAlign w:val="center"/>
          </w:tcPr>
          <w:p w14:paraId="55E07742" w14:textId="77777777" w:rsidR="00E0002C" w:rsidRDefault="00000000">
            <w:pPr>
              <w:spacing w:after="20"/>
            </w:pPr>
            <w:r>
              <w:rPr>
                <w:sz w:val="17"/>
              </w:rPr>
              <w:t>Produce deterministic pass/fail evidence.</w:t>
            </w:r>
          </w:p>
        </w:tc>
      </w:tr>
      <w:tr w:rsidR="00E0002C" w14:paraId="36770FEA" w14:textId="77777777">
        <w:trPr>
          <w:jc w:val="center"/>
        </w:trPr>
        <w:tc>
          <w:tcPr>
            <w:tcW w:w="1800" w:type="dxa"/>
            <w:shd w:val="clear" w:color="auto" w:fill="FFFFFF"/>
            <w:tcMar>
              <w:top w:w="115" w:type="dxa"/>
              <w:left w:w="115" w:type="dxa"/>
              <w:bottom w:w="115" w:type="dxa"/>
              <w:right w:w="115" w:type="dxa"/>
            </w:tcMar>
            <w:vAlign w:val="center"/>
          </w:tcPr>
          <w:p w14:paraId="44DC6A53" w14:textId="77777777" w:rsidR="00E0002C" w:rsidRDefault="00000000">
            <w:pPr>
              <w:spacing w:after="20"/>
            </w:pPr>
            <w:r>
              <w:rPr>
                <w:sz w:val="17"/>
              </w:rPr>
              <w:t>4. Connectivity tests</w:t>
            </w:r>
          </w:p>
        </w:tc>
        <w:tc>
          <w:tcPr>
            <w:tcW w:w="4464" w:type="dxa"/>
            <w:shd w:val="clear" w:color="auto" w:fill="FFFFFF"/>
            <w:tcMar>
              <w:top w:w="115" w:type="dxa"/>
              <w:left w:w="115" w:type="dxa"/>
              <w:bottom w:w="115" w:type="dxa"/>
              <w:right w:w="115" w:type="dxa"/>
            </w:tcMar>
            <w:vAlign w:val="center"/>
          </w:tcPr>
          <w:p w14:paraId="56E7CE50" w14:textId="77777777" w:rsidR="00E0002C" w:rsidRDefault="00000000">
            <w:pPr>
              <w:spacing w:after="20"/>
            </w:pPr>
            <w:r>
              <w:rPr>
                <w:sz w:val="17"/>
              </w:rPr>
              <w:t>Exercise approved and denied network paths after private endpoints and DNS are implemented.</w:t>
            </w:r>
          </w:p>
        </w:tc>
        <w:tc>
          <w:tcPr>
            <w:tcW w:w="3456" w:type="dxa"/>
            <w:shd w:val="clear" w:color="auto" w:fill="FFFFFF"/>
            <w:tcMar>
              <w:top w:w="115" w:type="dxa"/>
              <w:left w:w="115" w:type="dxa"/>
              <w:bottom w:w="115" w:type="dxa"/>
              <w:right w:w="115" w:type="dxa"/>
            </w:tcMar>
            <w:vAlign w:val="center"/>
          </w:tcPr>
          <w:p w14:paraId="15E2BCF0" w14:textId="77777777" w:rsidR="00E0002C" w:rsidRDefault="00000000">
            <w:pPr>
              <w:spacing w:after="20"/>
            </w:pPr>
            <w:r>
              <w:rPr>
                <w:sz w:val="17"/>
              </w:rPr>
              <w:t>Prove intended reachability and isolation.</w:t>
            </w:r>
          </w:p>
        </w:tc>
      </w:tr>
      <w:tr w:rsidR="00E0002C" w14:paraId="48AD98EA" w14:textId="77777777">
        <w:trPr>
          <w:jc w:val="center"/>
        </w:trPr>
        <w:tc>
          <w:tcPr>
            <w:tcW w:w="1800" w:type="dxa"/>
            <w:shd w:val="clear" w:color="auto" w:fill="F5F8FC"/>
            <w:tcMar>
              <w:top w:w="115" w:type="dxa"/>
              <w:left w:w="115" w:type="dxa"/>
              <w:bottom w:w="115" w:type="dxa"/>
              <w:right w:w="115" w:type="dxa"/>
            </w:tcMar>
            <w:vAlign w:val="center"/>
          </w:tcPr>
          <w:p w14:paraId="10AA5DDA" w14:textId="77777777" w:rsidR="00E0002C" w:rsidRDefault="00000000">
            <w:pPr>
              <w:spacing w:after="20"/>
            </w:pPr>
            <w:r>
              <w:rPr>
                <w:sz w:val="17"/>
              </w:rPr>
              <w:t>5. Data and model tests</w:t>
            </w:r>
          </w:p>
        </w:tc>
        <w:tc>
          <w:tcPr>
            <w:tcW w:w="4464" w:type="dxa"/>
            <w:shd w:val="clear" w:color="auto" w:fill="F5F8FC"/>
            <w:tcMar>
              <w:top w:w="115" w:type="dxa"/>
              <w:left w:w="115" w:type="dxa"/>
              <w:bottom w:w="115" w:type="dxa"/>
              <w:right w:w="115" w:type="dxa"/>
            </w:tcMar>
            <w:vAlign w:val="center"/>
          </w:tcPr>
          <w:p w14:paraId="72DF1F80" w14:textId="77777777" w:rsidR="00E0002C" w:rsidRDefault="00000000">
            <w:pPr>
              <w:spacing w:after="20"/>
            </w:pPr>
            <w:r>
              <w:rPr>
                <w:sz w:val="17"/>
              </w:rPr>
              <w:t>Write/read a controlled audit record and invoke an approved model deployment after service configuration exists.</w:t>
            </w:r>
          </w:p>
        </w:tc>
        <w:tc>
          <w:tcPr>
            <w:tcW w:w="3456" w:type="dxa"/>
            <w:shd w:val="clear" w:color="auto" w:fill="F5F8FC"/>
            <w:tcMar>
              <w:top w:w="115" w:type="dxa"/>
              <w:left w:w="115" w:type="dxa"/>
              <w:bottom w:w="115" w:type="dxa"/>
              <w:right w:w="115" w:type="dxa"/>
            </w:tcMar>
            <w:vAlign w:val="center"/>
          </w:tcPr>
          <w:p w14:paraId="74C87140" w14:textId="77777777" w:rsidR="00E0002C" w:rsidRDefault="00000000">
            <w:pPr>
              <w:spacing w:after="20"/>
            </w:pPr>
            <w:r>
              <w:rPr>
                <w:sz w:val="17"/>
              </w:rPr>
              <w:t>Verify end-to-end service integration.</w:t>
            </w:r>
          </w:p>
        </w:tc>
      </w:tr>
      <w:tr w:rsidR="00E0002C" w14:paraId="024CFEC8" w14:textId="77777777">
        <w:trPr>
          <w:jc w:val="center"/>
        </w:trPr>
        <w:tc>
          <w:tcPr>
            <w:tcW w:w="1800" w:type="dxa"/>
            <w:shd w:val="clear" w:color="auto" w:fill="FFFFFF"/>
            <w:tcMar>
              <w:top w:w="115" w:type="dxa"/>
              <w:left w:w="115" w:type="dxa"/>
              <w:bottom w:w="115" w:type="dxa"/>
              <w:right w:w="115" w:type="dxa"/>
            </w:tcMar>
            <w:vAlign w:val="center"/>
          </w:tcPr>
          <w:p w14:paraId="46D01BCE" w14:textId="77777777" w:rsidR="00E0002C" w:rsidRDefault="00000000">
            <w:pPr>
              <w:spacing w:after="20"/>
            </w:pPr>
            <w:r>
              <w:rPr>
                <w:sz w:val="17"/>
              </w:rPr>
              <w:t>6. Evidence capture</w:t>
            </w:r>
          </w:p>
        </w:tc>
        <w:tc>
          <w:tcPr>
            <w:tcW w:w="4464" w:type="dxa"/>
            <w:shd w:val="clear" w:color="auto" w:fill="FFFFFF"/>
            <w:tcMar>
              <w:top w:w="115" w:type="dxa"/>
              <w:left w:w="115" w:type="dxa"/>
              <w:bottom w:w="115" w:type="dxa"/>
              <w:right w:w="115" w:type="dxa"/>
            </w:tcMar>
            <w:vAlign w:val="center"/>
          </w:tcPr>
          <w:p w14:paraId="38C77CA9" w14:textId="77777777" w:rsidR="00E0002C" w:rsidRDefault="00000000">
            <w:pPr>
              <w:spacing w:after="20"/>
            </w:pPr>
            <w:r>
              <w:rPr>
                <w:sz w:val="17"/>
              </w:rPr>
              <w:t>Store deployment outputs, test results, configuration snapshots, and correlation IDs.</w:t>
            </w:r>
          </w:p>
        </w:tc>
        <w:tc>
          <w:tcPr>
            <w:tcW w:w="3456" w:type="dxa"/>
            <w:shd w:val="clear" w:color="auto" w:fill="FFFFFF"/>
            <w:tcMar>
              <w:top w:w="115" w:type="dxa"/>
              <w:left w:w="115" w:type="dxa"/>
              <w:bottom w:w="115" w:type="dxa"/>
              <w:right w:w="115" w:type="dxa"/>
            </w:tcMar>
            <w:vAlign w:val="center"/>
          </w:tcPr>
          <w:p w14:paraId="58063C87" w14:textId="77777777" w:rsidR="00E0002C" w:rsidRDefault="00000000">
            <w:pPr>
              <w:spacing w:after="20"/>
            </w:pPr>
            <w:r>
              <w:rPr>
                <w:sz w:val="17"/>
              </w:rPr>
              <w:t>Create a reviewable run record.</w:t>
            </w:r>
          </w:p>
        </w:tc>
      </w:tr>
      <w:tr w:rsidR="00E0002C" w14:paraId="04F4F9E3" w14:textId="77777777">
        <w:trPr>
          <w:jc w:val="center"/>
        </w:trPr>
        <w:tc>
          <w:tcPr>
            <w:tcW w:w="1800" w:type="dxa"/>
            <w:shd w:val="clear" w:color="auto" w:fill="F5F8FC"/>
            <w:tcMar>
              <w:top w:w="115" w:type="dxa"/>
              <w:left w:w="115" w:type="dxa"/>
              <w:bottom w:w="115" w:type="dxa"/>
              <w:right w:w="115" w:type="dxa"/>
            </w:tcMar>
            <w:vAlign w:val="center"/>
          </w:tcPr>
          <w:p w14:paraId="5ED6FC2C" w14:textId="77777777" w:rsidR="00E0002C" w:rsidRDefault="00000000">
            <w:pPr>
              <w:spacing w:after="20"/>
            </w:pPr>
            <w:r>
              <w:rPr>
                <w:sz w:val="17"/>
              </w:rPr>
              <w:t>7. Cleanup</w:t>
            </w:r>
          </w:p>
        </w:tc>
        <w:tc>
          <w:tcPr>
            <w:tcW w:w="4464" w:type="dxa"/>
            <w:shd w:val="clear" w:color="auto" w:fill="F5F8FC"/>
            <w:tcMar>
              <w:top w:w="115" w:type="dxa"/>
              <w:left w:w="115" w:type="dxa"/>
              <w:bottom w:w="115" w:type="dxa"/>
              <w:right w:w="115" w:type="dxa"/>
            </w:tcMar>
            <w:vAlign w:val="center"/>
          </w:tcPr>
          <w:p w14:paraId="789502B1" w14:textId="77777777" w:rsidR="00E0002C" w:rsidRDefault="00000000">
            <w:pPr>
              <w:spacing w:after="20"/>
            </w:pPr>
            <w:r>
              <w:rPr>
                <w:sz w:val="17"/>
              </w:rPr>
              <w:t>Remove the test resources according to policy and check for leftovers.</w:t>
            </w:r>
          </w:p>
        </w:tc>
        <w:tc>
          <w:tcPr>
            <w:tcW w:w="3456" w:type="dxa"/>
            <w:shd w:val="clear" w:color="auto" w:fill="F5F8FC"/>
            <w:tcMar>
              <w:top w:w="115" w:type="dxa"/>
              <w:left w:w="115" w:type="dxa"/>
              <w:bottom w:w="115" w:type="dxa"/>
              <w:right w:w="115" w:type="dxa"/>
            </w:tcMar>
            <w:vAlign w:val="center"/>
          </w:tcPr>
          <w:p w14:paraId="079547ED" w14:textId="77777777" w:rsidR="00E0002C" w:rsidRDefault="00000000">
            <w:pPr>
              <w:spacing w:after="20"/>
            </w:pPr>
            <w:r>
              <w:rPr>
                <w:sz w:val="17"/>
              </w:rPr>
              <w:t>Return the environment to a known state.</w:t>
            </w:r>
          </w:p>
        </w:tc>
      </w:tr>
    </w:tbl>
    <w:p w14:paraId="45232213" w14:textId="77777777" w:rsidR="00E0002C" w:rsidRDefault="00E0002C">
      <w:pPr>
        <w:spacing w:after="20"/>
      </w:pPr>
    </w:p>
    <w:tbl>
      <w:tblPr>
        <w:tblW w:w="0" w:type="auto"/>
        <w:jc w:val="center"/>
        <w:tblLayout w:type="fixed"/>
        <w:tblLook w:val="04A0" w:firstRow="1" w:lastRow="0" w:firstColumn="1" w:lastColumn="0" w:noHBand="0" w:noVBand="1"/>
      </w:tblPr>
      <w:tblGrid>
        <w:gridCol w:w="259"/>
        <w:gridCol w:w="9432"/>
      </w:tblGrid>
      <w:tr w:rsidR="00E0002C" w14:paraId="26A6F9F3" w14:textId="77777777">
        <w:trPr>
          <w:jc w:val="center"/>
        </w:trPr>
        <w:tc>
          <w:tcPr>
            <w:tcW w:w="259" w:type="dxa"/>
            <w:shd w:val="clear" w:color="auto" w:fill="238636"/>
          </w:tcPr>
          <w:p w14:paraId="6FDF1DF9" w14:textId="77777777" w:rsidR="00E0002C" w:rsidRDefault="00E0002C"/>
        </w:tc>
        <w:tc>
          <w:tcPr>
            <w:tcW w:w="9432" w:type="dxa"/>
            <w:shd w:val="clear" w:color="auto" w:fill="EAF6EC"/>
            <w:tcMar>
              <w:top w:w="150" w:type="dxa"/>
              <w:left w:w="150" w:type="dxa"/>
              <w:bottom w:w="150" w:type="dxa"/>
              <w:right w:w="150" w:type="dxa"/>
            </w:tcMar>
          </w:tcPr>
          <w:p w14:paraId="5D8DC8F3" w14:textId="77777777" w:rsidR="00E0002C" w:rsidRDefault="00000000">
            <w:r>
              <w:rPr>
                <w:b/>
                <w:color w:val="12233F"/>
                <w:sz w:val="21"/>
              </w:rPr>
              <w:t>BOTTOM LINE</w:t>
            </w:r>
          </w:p>
          <w:p w14:paraId="2362F6E8" w14:textId="77777777" w:rsidR="00E0002C" w:rsidRDefault="00000000">
            <w:pPr>
              <w:spacing w:after="40" w:line="259" w:lineRule="auto"/>
            </w:pPr>
            <w:r>
              <w:t>This file is relevant because it supplies the repeatable Azure foundation that runtests_ts can validate. Its real value is not merely provisioning resources. Its value is enabling DRE to demonstrate, with repeatable evidence, that named controls are present, unwanted paths are denied, and future infrastructure changes do not silently weaken the platform.</w:t>
            </w:r>
          </w:p>
        </w:tc>
      </w:tr>
    </w:tbl>
    <w:p w14:paraId="6ECFA6AE" w14:textId="77777777" w:rsidR="00E0002C" w:rsidRDefault="00E0002C">
      <w:pPr>
        <w:spacing w:after="20"/>
      </w:pPr>
    </w:p>
    <w:p w14:paraId="6E504A53" w14:textId="1F82C4B8" w:rsidR="00E0002C" w:rsidRDefault="00000000">
      <w:pPr>
        <w:spacing w:after="120" w:line="269" w:lineRule="auto"/>
      </w:pPr>
      <w:r>
        <w:t>Microsoft documentation used to validate the private-access and infrastructure-as-code context:</w:t>
      </w:r>
    </w:p>
    <w:p w14:paraId="1940374F" w14:textId="77777777" w:rsidR="00E0002C" w:rsidRDefault="00000000">
      <w:pPr>
        <w:pStyle w:val="ListBullet"/>
        <w:spacing w:after="60"/>
        <w:ind w:left="317"/>
      </w:pPr>
      <w:r>
        <w:t>Microsoft Learn, Configure Azure Private Link for Azure Cosmos DB: https://learn.microsoft.com/en-us/azure/cosmos-db/how-to-configure-private-endpoints</w:t>
      </w:r>
    </w:p>
    <w:p w14:paraId="4F968D91" w14:textId="77777777" w:rsidR="00E0002C" w:rsidRDefault="00000000">
      <w:pPr>
        <w:pStyle w:val="ListBullet"/>
        <w:spacing w:after="60"/>
        <w:ind w:left="317"/>
      </w:pPr>
      <w:r>
        <w:t>Microsoft Learn, Integrate Key Vault with Azure Private Link: https://learn.microsoft.com/en-us/azure/key-vault/general/private-link-service</w:t>
      </w:r>
    </w:p>
    <w:p w14:paraId="5DC1D289" w14:textId="77777777" w:rsidR="00E0002C" w:rsidRDefault="00000000">
      <w:pPr>
        <w:pStyle w:val="ListBullet"/>
        <w:spacing w:after="60"/>
        <w:ind w:left="317"/>
      </w:pPr>
      <w:r>
        <w:t>Microsoft Learn, Manage Azure Cosmos DB resources with Bicep: https://learn.microsoft.com/en-us/azure/cosmos-db/manage-with-bicep</w:t>
      </w:r>
    </w:p>
    <w:p w14:paraId="6FB6A9F5" w14:textId="77777777" w:rsidR="00E0002C" w:rsidRDefault="00000000">
      <w:pPr>
        <w:spacing w:after="120" w:line="269" w:lineRule="auto"/>
      </w:pPr>
      <w:r>
        <w:t>Recommended assertions and execution stages are design suggestions for the future runtests_ts implementation. They are not evidence that the tests currently exist or pass.</w:t>
      </w:r>
    </w:p>
    <w:p w14:paraId="78D6C905" w14:textId="77777777" w:rsidR="00B117A4" w:rsidRDefault="00B117A4">
      <w:pPr>
        <w:spacing w:after="120" w:line="269" w:lineRule="auto"/>
      </w:pPr>
    </w:p>
    <w:p w14:paraId="632DA738" w14:textId="6974EA9B" w:rsidR="00B117A4" w:rsidRDefault="00B117A4">
      <w:r>
        <w:br w:type="page"/>
      </w:r>
    </w:p>
    <w:p w14:paraId="4805F092" w14:textId="77777777" w:rsidR="00B117A4" w:rsidRDefault="00B117A4" w:rsidP="00B117A4">
      <w:pPr>
        <w:spacing w:after="120" w:line="269" w:lineRule="auto"/>
      </w:pPr>
      <w:r>
        <w:t>import { DeterministicComplianceEngine, RawBillingPayload } from './complianceEngine';</w:t>
      </w:r>
    </w:p>
    <w:p w14:paraId="26EAEB2E" w14:textId="77777777" w:rsidR="00B117A4" w:rsidRDefault="00B117A4" w:rsidP="00B117A4">
      <w:pPr>
        <w:spacing w:after="120" w:line="269" w:lineRule="auto"/>
      </w:pPr>
      <w:r>
        <w:t>import * as fs from 'fs';</w:t>
      </w:r>
    </w:p>
    <w:p w14:paraId="1D4D0AE5" w14:textId="77777777" w:rsidR="00B117A4" w:rsidRDefault="00B117A4" w:rsidP="00B117A4">
      <w:pPr>
        <w:spacing w:after="120" w:line="269" w:lineRule="auto"/>
      </w:pPr>
    </w:p>
    <w:p w14:paraId="2FA7BC19" w14:textId="77777777" w:rsidR="00B117A4" w:rsidRDefault="00B117A4" w:rsidP="00B117A4">
      <w:pPr>
        <w:spacing w:after="120" w:line="269" w:lineRule="auto"/>
      </w:pPr>
      <w:r>
        <w:t>// Initialize the deterministic engine instance</w:t>
      </w:r>
    </w:p>
    <w:p w14:paraId="50E7DACE" w14:textId="77777777" w:rsidR="00B117A4" w:rsidRDefault="00B117A4" w:rsidP="00B117A4">
      <w:pPr>
        <w:spacing w:after="120" w:line="269" w:lineRule="auto"/>
      </w:pPr>
      <w:r>
        <w:t>const engine = new DeterministicComplianceEngine();</w:t>
      </w:r>
    </w:p>
    <w:p w14:paraId="69C1F4DD" w14:textId="77777777" w:rsidR="00B117A4" w:rsidRDefault="00B117A4" w:rsidP="00B117A4">
      <w:pPr>
        <w:spacing w:after="120" w:line="269" w:lineRule="auto"/>
      </w:pPr>
    </w:p>
    <w:p w14:paraId="50DBAEEE" w14:textId="77777777" w:rsidR="00B117A4" w:rsidRDefault="00B117A4" w:rsidP="00B117A4">
      <w:pPr>
        <w:spacing w:after="120" w:line="269" w:lineRule="auto"/>
      </w:pPr>
      <w:r>
        <w:t>// Load the raw sample dataset mock file</w:t>
      </w:r>
    </w:p>
    <w:p w14:paraId="16D2C8D7" w14:textId="77777777" w:rsidR="00B117A4" w:rsidRDefault="00B117A4" w:rsidP="00B117A4">
      <w:pPr>
        <w:spacing w:after="120" w:line="269" w:lineRule="auto"/>
      </w:pPr>
      <w:r>
        <w:t>const sampleRawData: RawBillingPayload[] = [</w:t>
      </w:r>
    </w:p>
    <w:p w14:paraId="2F6F948E" w14:textId="77777777" w:rsidR="00B117A4" w:rsidRDefault="00B117A4" w:rsidP="00B117A4">
      <w:pPr>
        <w:spacing w:after="120" w:line="269" w:lineRule="auto"/>
      </w:pPr>
      <w:r>
        <w:t xml:space="preserve">  {</w:t>
      </w:r>
    </w:p>
    <w:p w14:paraId="66A2EB1E" w14:textId="77777777" w:rsidR="00B117A4" w:rsidRDefault="00B117A4" w:rsidP="00B117A4">
      <w:pPr>
        <w:spacing w:after="120" w:line="269" w:lineRule="auto"/>
      </w:pPr>
      <w:r>
        <w:t xml:space="preserve">    line_item_id: "TX-1001",</w:t>
      </w:r>
    </w:p>
    <w:p w14:paraId="1322CE72" w14:textId="77777777" w:rsidR="00B117A4" w:rsidRDefault="00B117A4" w:rsidP="00B117A4">
      <w:pPr>
        <w:spacing w:after="120" w:line="269" w:lineRule="auto"/>
      </w:pPr>
      <w:r>
        <w:t xml:space="preserve">    timekeeper_role: "Partner",</w:t>
      </w:r>
    </w:p>
    <w:p w14:paraId="39569826" w14:textId="77777777" w:rsidR="00B117A4" w:rsidRDefault="00B117A4" w:rsidP="00B117A4">
      <w:pPr>
        <w:spacing w:after="120" w:line="269" w:lineRule="auto"/>
      </w:pPr>
      <w:r>
        <w:t xml:space="preserve">    hourly_rate_usd: 850.00,</w:t>
      </w:r>
    </w:p>
    <w:p w14:paraId="4A17AE24" w14:textId="77777777" w:rsidR="00B117A4" w:rsidRDefault="00B117A4" w:rsidP="00B117A4">
      <w:pPr>
        <w:spacing w:after="120" w:line="269" w:lineRule="auto"/>
      </w:pPr>
      <w:r>
        <w:t xml:space="preserve">    hours_logged: 3.2,</w:t>
      </w:r>
    </w:p>
    <w:p w14:paraId="098067BC" w14:textId="77777777" w:rsidR="00B117A4" w:rsidRDefault="00B117A4" w:rsidP="00B117A4">
      <w:pPr>
        <w:spacing w:after="120" w:line="269" w:lineRule="auto"/>
      </w:pPr>
      <w:r>
        <w:t xml:space="preserve">    raw_narrative_text: "Attended internal alignment session, printed out the defense binders for trial, and began broad legal research regarding jurisdiction updates."</w:t>
      </w:r>
    </w:p>
    <w:p w14:paraId="1E1843CF" w14:textId="77777777" w:rsidR="00B117A4" w:rsidRDefault="00B117A4" w:rsidP="00B117A4">
      <w:pPr>
        <w:spacing w:after="120" w:line="269" w:lineRule="auto"/>
      </w:pPr>
      <w:r>
        <w:t xml:space="preserve">  },</w:t>
      </w:r>
    </w:p>
    <w:p w14:paraId="23EE0BA2" w14:textId="77777777" w:rsidR="00B117A4" w:rsidRDefault="00B117A4" w:rsidP="00B117A4">
      <w:pPr>
        <w:spacing w:after="120" w:line="269" w:lineRule="auto"/>
      </w:pPr>
      <w:r>
        <w:t xml:space="preserve">  {</w:t>
      </w:r>
    </w:p>
    <w:p w14:paraId="7E40F880" w14:textId="77777777" w:rsidR="00B117A4" w:rsidRDefault="00B117A4" w:rsidP="00B117A4">
      <w:pPr>
        <w:spacing w:after="120" w:line="269" w:lineRule="auto"/>
      </w:pPr>
      <w:r>
        <w:t xml:space="preserve">    line_item_id: "TX-1002",</w:t>
      </w:r>
    </w:p>
    <w:p w14:paraId="1D8A3E9D" w14:textId="77777777" w:rsidR="00B117A4" w:rsidRDefault="00B117A4" w:rsidP="00B117A4">
      <w:pPr>
        <w:spacing w:after="120" w:line="269" w:lineRule="auto"/>
      </w:pPr>
      <w:r>
        <w:t xml:space="preserve">    timekeeper_role": "Senior Associate",</w:t>
      </w:r>
    </w:p>
    <w:p w14:paraId="5B90C71A" w14:textId="77777777" w:rsidR="00B117A4" w:rsidRDefault="00B117A4" w:rsidP="00B117A4">
      <w:pPr>
        <w:spacing w:after="120" w:line="269" w:lineRule="auto"/>
      </w:pPr>
      <w:r>
        <w:t xml:space="preserve">    hourly_rate_usd": 600.00,</w:t>
      </w:r>
    </w:p>
    <w:p w14:paraId="5C3327E1" w14:textId="77777777" w:rsidR="00B117A4" w:rsidRDefault="00B117A4" w:rsidP="00B117A4">
      <w:pPr>
        <w:spacing w:after="120" w:line="269" w:lineRule="auto"/>
      </w:pPr>
      <w:r>
        <w:t xml:space="preserve">    hours_logged: 5.0,</w:t>
      </w:r>
    </w:p>
    <w:p w14:paraId="318DD11C" w14:textId="77777777" w:rsidR="00B117A4" w:rsidRDefault="00B117A4" w:rsidP="00B117A4">
      <w:pPr>
        <w:spacing w:after="120" w:line="269" w:lineRule="auto"/>
      </w:pPr>
      <w:r>
        <w:t xml:space="preserve">    raw_narrative_text: "Drafted summary judgment response. Conducted photocopy tasks for client files. Reviewed opposing counsel's recent discovery requests."</w:t>
      </w:r>
    </w:p>
    <w:p w14:paraId="289BE801" w14:textId="77777777" w:rsidR="00B117A4" w:rsidRDefault="00B117A4" w:rsidP="00B117A4">
      <w:pPr>
        <w:spacing w:after="120" w:line="269" w:lineRule="auto"/>
      </w:pPr>
      <w:r>
        <w:t xml:space="preserve">  },</w:t>
      </w:r>
    </w:p>
    <w:p w14:paraId="0020371F" w14:textId="77777777" w:rsidR="00B117A4" w:rsidRDefault="00B117A4" w:rsidP="00B117A4">
      <w:pPr>
        <w:spacing w:after="120" w:line="269" w:lineRule="auto"/>
      </w:pPr>
      <w:r>
        <w:t xml:space="preserve">  {</w:t>
      </w:r>
    </w:p>
    <w:p w14:paraId="6EEF620C" w14:textId="77777777" w:rsidR="00B117A4" w:rsidRDefault="00B117A4" w:rsidP="00B117A4">
      <w:pPr>
        <w:spacing w:after="120" w:line="269" w:lineRule="auto"/>
      </w:pPr>
      <w:r>
        <w:t xml:space="preserve">    line_item_id: "TX-1003",</w:t>
      </w:r>
    </w:p>
    <w:p w14:paraId="709152A1" w14:textId="77777777" w:rsidR="00B117A4" w:rsidRDefault="00B117A4" w:rsidP="00B117A4">
      <w:pPr>
        <w:spacing w:after="120" w:line="269" w:lineRule="auto"/>
      </w:pPr>
      <w:r>
        <w:t xml:space="preserve">    timekeeper_role": "Junior Associate",</w:t>
      </w:r>
    </w:p>
    <w:p w14:paraId="121BE4D9" w14:textId="77777777" w:rsidR="00B117A4" w:rsidRDefault="00B117A4" w:rsidP="00B117A4">
      <w:pPr>
        <w:spacing w:after="120" w:line="269" w:lineRule="auto"/>
      </w:pPr>
      <w:r>
        <w:t xml:space="preserve">    hourly_rate_usd": 450.00,</w:t>
      </w:r>
    </w:p>
    <w:p w14:paraId="53272422" w14:textId="77777777" w:rsidR="00B117A4" w:rsidRDefault="00B117A4" w:rsidP="00B117A4">
      <w:pPr>
        <w:spacing w:after="120" w:line="269" w:lineRule="auto"/>
      </w:pPr>
      <w:r>
        <w:t xml:space="preserve">    hours_logged: 2.5,</w:t>
      </w:r>
    </w:p>
    <w:p w14:paraId="1FA21B3F" w14:textId="77777777" w:rsidR="00B117A4" w:rsidRDefault="00B117A4" w:rsidP="00B117A4">
      <w:pPr>
        <w:spacing w:after="120" w:line="269" w:lineRule="auto"/>
      </w:pPr>
      <w:r>
        <w:t xml:space="preserve">    raw_narrative_text: "Conducted file prep for the upcoming deposition and performed scanning of evidentiary documents into the database record."</w:t>
      </w:r>
    </w:p>
    <w:p w14:paraId="28FC1322" w14:textId="77777777" w:rsidR="00B117A4" w:rsidRDefault="00B117A4" w:rsidP="00B117A4">
      <w:pPr>
        <w:spacing w:after="120" w:line="269" w:lineRule="auto"/>
      </w:pPr>
      <w:r>
        <w:t xml:space="preserve">  }</w:t>
      </w:r>
    </w:p>
    <w:p w14:paraId="6976D19F" w14:textId="77777777" w:rsidR="00B117A4" w:rsidRDefault="00B117A4" w:rsidP="00B117A4">
      <w:pPr>
        <w:spacing w:after="120" w:line="269" w:lineRule="auto"/>
      </w:pPr>
      <w:r>
        <w:t>];</w:t>
      </w:r>
    </w:p>
    <w:p w14:paraId="0E54AB8A" w14:textId="77777777" w:rsidR="00B117A4" w:rsidRDefault="00B117A4" w:rsidP="00B117A4">
      <w:pPr>
        <w:spacing w:after="120" w:line="269" w:lineRule="auto"/>
      </w:pPr>
    </w:p>
    <w:p w14:paraId="61457A63" w14:textId="77777777" w:rsidR="00B117A4" w:rsidRDefault="00B117A4" w:rsidP="00B117A4">
      <w:pPr>
        <w:spacing w:after="120" w:line="269" w:lineRule="auto"/>
      </w:pPr>
      <w:r>
        <w:t>console.log("=================================================================");</w:t>
      </w:r>
    </w:p>
    <w:p w14:paraId="41751D14" w14:textId="77777777" w:rsidR="00B117A4" w:rsidRDefault="00B117A4" w:rsidP="00B117A4">
      <w:pPr>
        <w:spacing w:after="120" w:line="269" w:lineRule="auto"/>
      </w:pPr>
      <w:r>
        <w:t>console.log("</w:t>
      </w:r>
      <w:r>
        <w:rPr>
          <w:rFonts w:ascii="Segoe UI Emoji" w:hAnsi="Segoe UI Emoji" w:cs="Segoe UI Emoji"/>
        </w:rPr>
        <w:t>⚡</w:t>
      </w:r>
      <w:r>
        <w:t xml:space="preserve"> STARTING LIVE DETERMINISTIC ENGINE COMPLIANCE RUN");</w:t>
      </w:r>
    </w:p>
    <w:p w14:paraId="44E95E6F" w14:textId="77777777" w:rsidR="00B117A4" w:rsidRDefault="00B117A4" w:rsidP="00B117A4">
      <w:pPr>
        <w:spacing w:after="120" w:line="269" w:lineRule="auto"/>
      </w:pPr>
      <w:r>
        <w:t>console.log("=================================================================\n");</w:t>
      </w:r>
    </w:p>
    <w:p w14:paraId="47D89DD1" w14:textId="77777777" w:rsidR="00B117A4" w:rsidRDefault="00B117A4" w:rsidP="00B117A4">
      <w:pPr>
        <w:spacing w:after="120" w:line="269" w:lineRule="auto"/>
      </w:pPr>
    </w:p>
    <w:p w14:paraId="5C2B3E6E" w14:textId="77777777" w:rsidR="00B117A4" w:rsidRDefault="00B117A4" w:rsidP="00B117A4">
      <w:pPr>
        <w:spacing w:after="120" w:line="269" w:lineRule="auto"/>
      </w:pPr>
      <w:r>
        <w:t>let totalSavingsAccumulated = 0;</w:t>
      </w:r>
    </w:p>
    <w:p w14:paraId="0206E432" w14:textId="77777777" w:rsidR="00B117A4" w:rsidRDefault="00B117A4" w:rsidP="00B117A4">
      <w:pPr>
        <w:spacing w:after="120" w:line="269" w:lineRule="auto"/>
      </w:pPr>
      <w:r>
        <w:t>let itemsProcessedCount = 0;</w:t>
      </w:r>
    </w:p>
    <w:p w14:paraId="5D6D0AA9" w14:textId="77777777" w:rsidR="00B117A4" w:rsidRDefault="00B117A4" w:rsidP="00B117A4">
      <w:pPr>
        <w:spacing w:after="120" w:line="269" w:lineRule="auto"/>
      </w:pPr>
    </w:p>
    <w:p w14:paraId="3B3ECD97" w14:textId="77777777" w:rsidR="00B117A4" w:rsidRDefault="00B117A4" w:rsidP="00B117A4">
      <w:pPr>
        <w:spacing w:after="120" w:line="269" w:lineRule="auto"/>
      </w:pPr>
      <w:r>
        <w:t>sampleRawData.forEach((item) =&gt; {</w:t>
      </w:r>
    </w:p>
    <w:p w14:paraId="7361DC50" w14:textId="77777777" w:rsidR="00B117A4" w:rsidRDefault="00B117A4" w:rsidP="00B117A4">
      <w:pPr>
        <w:spacing w:after="120" w:line="269" w:lineRule="auto"/>
      </w:pPr>
      <w:r>
        <w:t xml:space="preserve">  itemsProcessedCount++;</w:t>
      </w:r>
    </w:p>
    <w:p w14:paraId="0C4DEDB0" w14:textId="77777777" w:rsidR="00B117A4" w:rsidRDefault="00B117A4" w:rsidP="00B117A4">
      <w:pPr>
        <w:spacing w:after="120" w:line="269" w:lineRule="auto"/>
      </w:pPr>
      <w:r>
        <w:t xml:space="preserve">  console.log(`[Processing Item ${itemsProcessedCount}] ID: ${item.line_item_id} (${item.timekeeper_role})`);</w:t>
      </w:r>
    </w:p>
    <w:p w14:paraId="24A43FE6" w14:textId="77777777" w:rsidR="00B117A4" w:rsidRDefault="00B117A4" w:rsidP="00B117A4">
      <w:pPr>
        <w:spacing w:after="120" w:line="269" w:lineRule="auto"/>
      </w:pPr>
      <w:r>
        <w:t xml:space="preserve">  console.log(`- Original Text: "${item.raw_narrative_text}"`);</w:t>
      </w:r>
    </w:p>
    <w:p w14:paraId="4C340E8E" w14:textId="77777777" w:rsidR="00B117A4" w:rsidRDefault="00B117A4" w:rsidP="00B117A4">
      <w:pPr>
        <w:spacing w:after="120" w:line="269" w:lineRule="auto"/>
      </w:pPr>
      <w:r>
        <w:t xml:space="preserve">  </w:t>
      </w:r>
    </w:p>
    <w:p w14:paraId="041F39AD" w14:textId="77777777" w:rsidR="00B117A4" w:rsidRDefault="00B117A4" w:rsidP="00B117A4">
      <w:pPr>
        <w:spacing w:after="120" w:line="269" w:lineRule="auto"/>
      </w:pPr>
      <w:r>
        <w:t xml:space="preserve">  // Run payload execution loop through the engine</w:t>
      </w:r>
    </w:p>
    <w:p w14:paraId="3CF45E64" w14:textId="77777777" w:rsidR="00B117A4" w:rsidRDefault="00B117A4" w:rsidP="00B117A4">
      <w:pPr>
        <w:spacing w:after="120" w:line="269" w:lineRule="auto"/>
      </w:pPr>
      <w:r>
        <w:t xml:space="preserve">  const assessment = engine.evaluatePayload(item);</w:t>
      </w:r>
    </w:p>
    <w:p w14:paraId="05D5F32E" w14:textId="77777777" w:rsidR="00B117A4" w:rsidRDefault="00B117A4" w:rsidP="00B117A4">
      <w:pPr>
        <w:spacing w:after="120" w:line="269" w:lineRule="auto"/>
      </w:pPr>
      <w:r>
        <w:t xml:space="preserve">  </w:t>
      </w:r>
    </w:p>
    <w:p w14:paraId="7BDEDECF" w14:textId="77777777" w:rsidR="00B117A4" w:rsidRDefault="00B117A4" w:rsidP="00B117A4">
      <w:pPr>
        <w:spacing w:after="120" w:line="269" w:lineRule="auto"/>
      </w:pPr>
      <w:r>
        <w:t xml:space="preserve">  totalSavingsAccumulated += assessment.revenue_leakage_prevented_usd;</w:t>
      </w:r>
    </w:p>
    <w:p w14:paraId="3016A6C2" w14:textId="77777777" w:rsidR="00B117A4" w:rsidRDefault="00B117A4" w:rsidP="00B117A4">
      <w:pPr>
        <w:spacing w:after="120" w:line="269" w:lineRule="auto"/>
      </w:pPr>
    </w:p>
    <w:p w14:paraId="7008282E" w14:textId="77777777" w:rsidR="00B117A4" w:rsidRDefault="00B117A4" w:rsidP="00B117A4">
      <w:pPr>
        <w:spacing w:after="120" w:line="269" w:lineRule="auto"/>
      </w:pPr>
      <w:r>
        <w:t xml:space="preserve">  console.log(`- Engine Evaluation Status: ${assessment.needs_ai_consensus ? '</w:t>
      </w:r>
      <w:r>
        <w:rPr>
          <w:rFonts w:ascii="Segoe UI Emoji" w:hAnsi="Segoe UI Emoji" w:cs="Segoe UI Emoji"/>
        </w:rPr>
        <w:t>⚠️</w:t>
      </w:r>
      <w:r>
        <w:t xml:space="preserve"> FLAG FOR AI CONSENSUS' : '</w:t>
      </w:r>
      <w:r>
        <w:rPr>
          <w:rFonts w:ascii="Segoe UI Emoji" w:hAnsi="Segoe UI Emoji" w:cs="Segoe UI Emoji"/>
        </w:rPr>
        <w:t>✅</w:t>
      </w:r>
      <w:r>
        <w:t xml:space="preserve"> CLEAN PASS'}`);</w:t>
      </w:r>
    </w:p>
    <w:p w14:paraId="03FA6666" w14:textId="77777777" w:rsidR="00B117A4" w:rsidRDefault="00B117A4" w:rsidP="00B117A4">
      <w:pPr>
        <w:spacing w:after="120" w:line="269" w:lineRule="auto"/>
      </w:pPr>
      <w:r>
        <w:t xml:space="preserve">  console.log(`- Violations Tripped: ${assessment.violations_detected.length}`);</w:t>
      </w:r>
    </w:p>
    <w:p w14:paraId="383709EF" w14:textId="77777777" w:rsidR="00B117A4" w:rsidRDefault="00B117A4" w:rsidP="00B117A4">
      <w:pPr>
        <w:spacing w:after="120" w:line="269" w:lineRule="auto"/>
      </w:pPr>
      <w:r>
        <w:t xml:space="preserve">  </w:t>
      </w:r>
    </w:p>
    <w:p w14:paraId="3284D61D" w14:textId="77777777" w:rsidR="00B117A4" w:rsidRDefault="00B117A4" w:rsidP="00B117A4">
      <w:pPr>
        <w:spacing w:after="120" w:line="269" w:lineRule="auto"/>
      </w:pPr>
      <w:r>
        <w:t xml:space="preserve">  assessment.violations_detected.forEach(v =&gt; {</w:t>
      </w:r>
    </w:p>
    <w:p w14:paraId="2D16EA88" w14:textId="77777777" w:rsidR="00B117A4" w:rsidRDefault="00B117A4" w:rsidP="00B117A4">
      <w:pPr>
        <w:spacing w:after="120" w:line="269" w:lineRule="auto"/>
      </w:pPr>
      <w:r>
        <w:t xml:space="preserve">    console.log(`  * ${v.rule_id} -&gt; Action Taken: [${v.action}]`);</w:t>
      </w:r>
    </w:p>
    <w:p w14:paraId="63302EA2" w14:textId="77777777" w:rsidR="00B117A4" w:rsidRDefault="00B117A4" w:rsidP="00B117A4">
      <w:pPr>
        <w:spacing w:after="120" w:line="269" w:lineRule="auto"/>
      </w:pPr>
      <w:r>
        <w:t xml:space="preserve">  });</w:t>
      </w:r>
    </w:p>
    <w:p w14:paraId="4A79E4C7" w14:textId="77777777" w:rsidR="00B117A4" w:rsidRDefault="00B117A4" w:rsidP="00B117A4">
      <w:pPr>
        <w:spacing w:after="120" w:line="269" w:lineRule="auto"/>
      </w:pPr>
    </w:p>
    <w:p w14:paraId="414A7DA9" w14:textId="77777777" w:rsidR="00B117A4" w:rsidRDefault="00B117A4" w:rsidP="00B117A4">
      <w:pPr>
        <w:spacing w:after="120" w:line="269" w:lineRule="auto"/>
      </w:pPr>
      <w:r>
        <w:t xml:space="preserve">  console.log(`- Cleaned Text Base: "${assessment.sanitized_narrative_base}"`);</w:t>
      </w:r>
    </w:p>
    <w:p w14:paraId="61C38E4A" w14:textId="77777777" w:rsidR="00B117A4" w:rsidRDefault="00B117A4" w:rsidP="00B117A4">
      <w:pPr>
        <w:spacing w:after="120" w:line="269" w:lineRule="auto"/>
      </w:pPr>
      <w:r>
        <w:t xml:space="preserve">  console.log(`- Tracked Financial Leakage Stopped: $${assessment.revenue_leakage_prevented_usd.toFixed(2)}`);</w:t>
      </w:r>
    </w:p>
    <w:p w14:paraId="26369B2E" w14:textId="77777777" w:rsidR="00B117A4" w:rsidRDefault="00B117A4" w:rsidP="00B117A4">
      <w:pPr>
        <w:spacing w:after="120" w:line="269" w:lineRule="auto"/>
      </w:pPr>
      <w:r>
        <w:t xml:space="preserve">  console.log("-----------------------------------------------------------------\n");</w:t>
      </w:r>
    </w:p>
    <w:p w14:paraId="17EBF593" w14:textId="77777777" w:rsidR="00B117A4" w:rsidRDefault="00B117A4" w:rsidP="00B117A4">
      <w:pPr>
        <w:spacing w:after="120" w:line="269" w:lineRule="auto"/>
      </w:pPr>
      <w:r>
        <w:t>});</w:t>
      </w:r>
    </w:p>
    <w:p w14:paraId="5238D547" w14:textId="77777777" w:rsidR="00B117A4" w:rsidRDefault="00B117A4" w:rsidP="00B117A4">
      <w:pPr>
        <w:spacing w:after="120" w:line="269" w:lineRule="auto"/>
      </w:pPr>
    </w:p>
    <w:p w14:paraId="695AEC91" w14:textId="77777777" w:rsidR="00B117A4" w:rsidRDefault="00B117A4" w:rsidP="00B117A4">
      <w:pPr>
        <w:spacing w:after="120" w:line="269" w:lineRule="auto"/>
      </w:pPr>
      <w:r>
        <w:t>console.log("=================================================================");</w:t>
      </w:r>
    </w:p>
    <w:p w14:paraId="60326678" w14:textId="3063A595" w:rsidR="00B117A4" w:rsidRDefault="00B117A4" w:rsidP="00B117A4">
      <w:pPr>
        <w:spacing w:after="120" w:line="269" w:lineRule="auto"/>
      </w:pPr>
      <w:r>
        <w:t>console.log("</w:t>
      </w:r>
      <w:r>
        <w:rPr>
          <w:rFonts w:ascii="Segoe UI Emoji" w:hAnsi="Segoe UI Emoji" w:cs="Segoe UI Emoji"/>
        </w:rPr>
        <w:t>📊</w:t>
      </w:r>
      <w:r>
        <w:t xml:space="preserve"> DEMO COMPLETED");</w:t>
      </w:r>
    </w:p>
    <w:p w14:paraId="0891E3BC" w14:textId="77777777" w:rsidR="00B117A4" w:rsidRDefault="00B117A4" w:rsidP="00B117A4">
      <w:pPr>
        <w:spacing w:after="120" w:line="269" w:lineRule="auto"/>
      </w:pPr>
      <w:r>
        <w:t>console.log(`- Total Transactions Audited: ${itemsProcessedCount}`);</w:t>
      </w:r>
    </w:p>
    <w:p w14:paraId="5FDA6A7A" w14:textId="77777777" w:rsidR="00B117A4" w:rsidRDefault="00B117A4" w:rsidP="00B117A4">
      <w:pPr>
        <w:spacing w:after="120" w:line="269" w:lineRule="auto"/>
      </w:pPr>
      <w:r>
        <w:t>console.log(`- Instant Revenue Saved for Firm Portfolio: $${totalSavingsAccumulated.toFixed(2)}`);</w:t>
      </w:r>
    </w:p>
    <w:p w14:paraId="45591F4A" w14:textId="5933B996" w:rsidR="00B117A4" w:rsidRDefault="00B117A4" w:rsidP="00B117A4">
      <w:pPr>
        <w:spacing w:after="120" w:line="269" w:lineRule="auto"/>
      </w:pPr>
      <w:r>
        <w:t>console.log("=================================================================");</w:t>
      </w:r>
    </w:p>
    <w:sectPr w:rsidR="00B117A4" w:rsidSect="00034616">
      <w:pgSz w:w="12240" w:h="15840"/>
      <w:pgMar w:top="893" w:right="1037" w:bottom="893"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DDD4B" w14:textId="77777777" w:rsidR="00E14864" w:rsidRDefault="00E14864">
      <w:pPr>
        <w:spacing w:after="0" w:line="240" w:lineRule="auto"/>
      </w:pPr>
      <w:r>
        <w:separator/>
      </w:r>
    </w:p>
  </w:endnote>
  <w:endnote w:type="continuationSeparator" w:id="0">
    <w:p w14:paraId="55B79829" w14:textId="77777777" w:rsidR="00E14864" w:rsidRDefault="00E14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50ECA" w14:textId="77777777" w:rsidR="00E0002C" w:rsidRDefault="00000000">
    <w:pPr>
      <w:pStyle w:val="Footer"/>
      <w:jc w:val="center"/>
    </w:pPr>
    <w:r>
      <w:rPr>
        <w:color w:val="5E6A78"/>
        <w:sz w:val="16"/>
      </w:rPr>
      <w:t>Confidential working document  |  Jamie Lynn Schallert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A7542" w14:textId="77777777" w:rsidR="00E14864" w:rsidRDefault="00E14864">
      <w:pPr>
        <w:spacing w:after="0" w:line="240" w:lineRule="auto"/>
      </w:pPr>
      <w:r>
        <w:separator/>
      </w:r>
    </w:p>
  </w:footnote>
  <w:footnote w:type="continuationSeparator" w:id="0">
    <w:p w14:paraId="2AF0FFA4" w14:textId="77777777" w:rsidR="00E14864" w:rsidRDefault="00E14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70BF8" w14:textId="77777777" w:rsidR="00E0002C" w:rsidRDefault="00000000">
    <w:pPr>
      <w:pStyle w:val="Header"/>
      <w:jc w:val="right"/>
    </w:pPr>
    <w:r>
      <w:rPr>
        <w:b/>
        <w:color w:val="5E6A78"/>
        <w:sz w:val="16"/>
      </w:rPr>
      <w:t>DRE  |  RUNTESTS_TS RELEVANCE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17034076">
    <w:abstractNumId w:val="8"/>
  </w:num>
  <w:num w:numId="2" w16cid:durableId="1602378578">
    <w:abstractNumId w:val="6"/>
  </w:num>
  <w:num w:numId="3" w16cid:durableId="1113943711">
    <w:abstractNumId w:val="5"/>
  </w:num>
  <w:num w:numId="4" w16cid:durableId="584416753">
    <w:abstractNumId w:val="4"/>
  </w:num>
  <w:num w:numId="5" w16cid:durableId="1473865090">
    <w:abstractNumId w:val="7"/>
  </w:num>
  <w:num w:numId="6" w16cid:durableId="1251625554">
    <w:abstractNumId w:val="3"/>
  </w:num>
  <w:num w:numId="7" w16cid:durableId="834228499">
    <w:abstractNumId w:val="2"/>
  </w:num>
  <w:num w:numId="8" w16cid:durableId="2102410654">
    <w:abstractNumId w:val="1"/>
  </w:num>
  <w:num w:numId="9" w16cid:durableId="1033578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F4766"/>
    <w:rsid w:val="00AA1D8D"/>
    <w:rsid w:val="00B117A4"/>
    <w:rsid w:val="00B47730"/>
    <w:rsid w:val="00BC1001"/>
    <w:rsid w:val="00CB0664"/>
    <w:rsid w:val="00D4096E"/>
    <w:rsid w:val="00E0002C"/>
    <w:rsid w:val="00E148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F4D43E"/>
  <w14:defaultImageDpi w14:val="300"/>
  <w15:docId w15:val="{02002339-01F6-4BA2-8149-76E54A915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1B2430"/>
      <w:sz w:val="20"/>
    </w:rPr>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b/>
      <w:bCs/>
      <w:color w:val="12233F"/>
      <w:sz w:val="3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b/>
      <w:bCs/>
      <w:color w:val="2764D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80" w:after="100" w:line="240" w:lineRule="auto"/>
      <w:contextualSpacing/>
    </w:pPr>
    <w:rPr>
      <w:rFonts w:asciiTheme="majorHAnsi" w:eastAsiaTheme="majorEastAsia" w:hAnsiTheme="majorHAnsi" w:cstheme="majorBidi"/>
      <w:b/>
      <w:color w:val="2764D8"/>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1755</Words>
  <Characters>10007</Characters>
  <Application>Microsoft Office Word</Application>
  <DocSecurity>0</DocSecurity>
  <Lines>83</Lines>
  <Paragraphs>23</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DRE runtests_ts Relevance and Infrastructure Validation</vt:lpstr>
      <vt:lpstr>Executive Relevance</vt:lpstr>
      <vt:lpstr>    The Infrastructure Contract Created by the File</vt:lpstr>
      <vt:lpstr>What Runtests_TS Should Prove</vt:lpstr>
      <vt:lpstr>Why This Is Important to DRE</vt:lpstr>
      <vt:lpstr>Current Limitations and Test Gaps</vt:lpstr>
      <vt:lpstr>Recommended Runtests_TS Execution Pattern</vt:lpstr>
      <vt:lpstr>Source Notes</vt:lpstr>
    </vt:vector>
  </TitlesOfParts>
  <Manager/>
  <Company/>
  <LinksUpToDate>false</LinksUpToDate>
  <CharactersWithSpaces>11739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DRE runtests_ts Relevance and Infrastructure Validation</dc:title>
  <dc:subject>Relevance of the Legal Firewall Bicep fixture to runtests_ts</dc:subject>
  <dc:creator>Jamie Schallert</dc:creator>
  <cp:keywords/>
  <dc:description/>
  <cp:lastModifiedBy>Jamie Lynn Schallert</cp:lastModifiedBy>
  <cp:revision>4</cp:revision>
  <dcterms:created xsi:type="dcterms:W3CDTF">2026-09-13T15:51:00Z</dcterms:created>
  <dcterms:modified xsi:type="dcterms:W3CDTF">2026-09-13T15:54:00Z</dcterms:modified>
  <cp:category/>
</cp:coreProperties>
</file>