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59A3" w14:textId="77777777" w:rsidR="003A60B2" w:rsidRDefault="00000000">
      <w:pPr>
        <w:spacing w:before="1160"/>
        <w:jc w:val="center"/>
      </w:pPr>
      <w:r>
        <w:rPr>
          <w:rFonts w:ascii="Aptos Display" w:hAnsi="Aptos Display"/>
          <w:b/>
          <w:color w:val="2764D8"/>
          <w:sz w:val="68"/>
        </w:rPr>
        <w:t>LEGAL FIREWALL</w:t>
      </w:r>
    </w:p>
    <w:p w14:paraId="6DD4989B" w14:textId="77777777" w:rsidR="003A60B2" w:rsidRDefault="00000000">
      <w:pPr>
        <w:jc w:val="center"/>
      </w:pPr>
      <w:r>
        <w:rPr>
          <w:b/>
          <w:color w:val="12233F"/>
          <w:sz w:val="40"/>
        </w:rPr>
        <w:t>Azure Infrastructure Deployment Process</w:t>
      </w:r>
    </w:p>
    <w:p w14:paraId="0FEF5CB6" w14:textId="77777777" w:rsidR="003A60B2" w:rsidRDefault="00000000">
      <w:pPr>
        <w:spacing w:before="160"/>
        <w:jc w:val="center"/>
      </w:pPr>
      <w:r>
        <w:rPr>
          <w:sz w:val="25"/>
        </w:rPr>
        <w:t>How the Bicep template establishes the network, secrets, audit, and AI service foundation for DRE</w:t>
      </w:r>
    </w:p>
    <w:p w14:paraId="6CC462E5" w14:textId="77777777" w:rsidR="003A60B2" w:rsidRDefault="003A60B2">
      <w:pPr>
        <w:spacing w:before="800"/>
        <w:jc w:val="center"/>
      </w:pPr>
    </w:p>
    <w:tbl>
      <w:tblPr>
        <w:tblW w:w="0" w:type="auto"/>
        <w:jc w:val="center"/>
        <w:tblLayout w:type="fixed"/>
        <w:tblLook w:val="04A0" w:firstRow="1" w:lastRow="0" w:firstColumn="1" w:lastColumn="0" w:noHBand="0" w:noVBand="1"/>
      </w:tblPr>
      <w:tblGrid>
        <w:gridCol w:w="259"/>
        <w:gridCol w:w="9432"/>
      </w:tblGrid>
      <w:tr w:rsidR="003A60B2" w14:paraId="1E79F271" w14:textId="77777777">
        <w:trPr>
          <w:jc w:val="center"/>
        </w:trPr>
        <w:tc>
          <w:tcPr>
            <w:tcW w:w="259" w:type="dxa"/>
            <w:shd w:val="clear" w:color="auto" w:fill="2764D8"/>
          </w:tcPr>
          <w:p w14:paraId="4512CE8C" w14:textId="77777777" w:rsidR="003A60B2" w:rsidRDefault="003A60B2"/>
        </w:tc>
        <w:tc>
          <w:tcPr>
            <w:tcW w:w="9432" w:type="dxa"/>
            <w:shd w:val="clear" w:color="auto" w:fill="EAF1FB"/>
            <w:tcMar>
              <w:top w:w="150" w:type="dxa"/>
              <w:left w:w="150" w:type="dxa"/>
              <w:bottom w:w="150" w:type="dxa"/>
              <w:right w:w="150" w:type="dxa"/>
            </w:tcMar>
          </w:tcPr>
          <w:p w14:paraId="7D8AA54D" w14:textId="77777777" w:rsidR="003A60B2" w:rsidRDefault="00000000">
            <w:r>
              <w:rPr>
                <w:b/>
                <w:color w:val="12233F"/>
                <w:sz w:val="21"/>
              </w:rPr>
              <w:t>EXECUTIVE PURPOSE</w:t>
            </w:r>
          </w:p>
          <w:p w14:paraId="4AF47003" w14:textId="77777777" w:rsidR="003A60B2" w:rsidRDefault="00000000">
            <w:pPr>
              <w:spacing w:after="40" w:line="259" w:lineRule="auto"/>
            </w:pPr>
            <w:r>
              <w:t>This template begins the infrastructure foundation for a controlled legal billing review platform. It standardizes resource naming and region placement, creates a network boundary, provisions central secrets management, creates a JSON-oriented audit account, and deploys an Azure OpenAI resource with public network access disabled.</w:t>
            </w:r>
          </w:p>
        </w:tc>
      </w:tr>
    </w:tbl>
    <w:p w14:paraId="47569A3D" w14:textId="77777777" w:rsidR="003A60B2" w:rsidRDefault="003A60B2">
      <w:pPr>
        <w:spacing w:after="20"/>
      </w:pPr>
    </w:p>
    <w:p w14:paraId="6067F10C" w14:textId="77777777" w:rsidR="003A60B2" w:rsidRDefault="00000000">
      <w:pPr>
        <w:spacing w:before="1100"/>
        <w:jc w:val="center"/>
      </w:pPr>
      <w:r>
        <w:rPr>
          <w:b/>
          <w:color w:val="5E6A78"/>
        </w:rPr>
        <w:t>Process guide • architecture flow • control importance • implementation gaps</w:t>
      </w:r>
    </w:p>
    <w:p w14:paraId="0E973FDD" w14:textId="77777777" w:rsidR="003A60B2" w:rsidRDefault="00000000">
      <w:r>
        <w:br w:type="page"/>
      </w:r>
    </w:p>
    <w:p w14:paraId="5B79C757" w14:textId="77777777" w:rsidR="003A60B2" w:rsidRDefault="00000000">
      <w:pPr>
        <w:pStyle w:val="Heading1"/>
      </w:pPr>
      <w:r>
        <w:lastRenderedPageBreak/>
        <w:t>What the Template Does</w:t>
      </w:r>
    </w:p>
    <w:p w14:paraId="69E14E70" w14:textId="77777777" w:rsidR="003A60B2" w:rsidRDefault="00000000">
      <w:pPr>
        <w:spacing w:after="120" w:line="269" w:lineRule="auto"/>
      </w:pPr>
      <w:r>
        <w:t>The Bicep file declares two reusable parameters and four Azure resources. The location parameter inherits the resource group location, while the prefix parameter applies a consistent legalfirewall naming convention. Azure Resource Manager then deploys the declared resources as one repeatable infrastructure definition.</w:t>
      </w:r>
    </w:p>
    <w:tbl>
      <w:tblPr>
        <w:tblStyle w:val="TableGrid"/>
        <w:tblW w:w="0" w:type="auto"/>
        <w:jc w:val="center"/>
        <w:tblLayout w:type="fixed"/>
        <w:tblLook w:val="04A0" w:firstRow="1" w:lastRow="0" w:firstColumn="1" w:lastColumn="0" w:noHBand="0" w:noVBand="1"/>
      </w:tblPr>
      <w:tblGrid>
        <w:gridCol w:w="792"/>
        <w:gridCol w:w="2880"/>
        <w:gridCol w:w="5832"/>
      </w:tblGrid>
      <w:tr w:rsidR="003A60B2" w14:paraId="70625254" w14:textId="77777777">
        <w:trPr>
          <w:jc w:val="center"/>
        </w:trPr>
        <w:tc>
          <w:tcPr>
            <w:tcW w:w="792" w:type="dxa"/>
            <w:shd w:val="clear" w:color="auto" w:fill="12233F"/>
            <w:tcMar>
              <w:top w:w="120" w:type="dxa"/>
              <w:left w:w="120" w:type="dxa"/>
              <w:bottom w:w="120" w:type="dxa"/>
              <w:right w:w="120" w:type="dxa"/>
            </w:tcMar>
          </w:tcPr>
          <w:p w14:paraId="038B05DE" w14:textId="77777777" w:rsidR="003A60B2" w:rsidRDefault="00000000">
            <w:pPr>
              <w:jc w:val="center"/>
            </w:pPr>
            <w:r>
              <w:rPr>
                <w:b/>
                <w:color w:val="FFFFFF"/>
                <w:sz w:val="17"/>
              </w:rPr>
              <w:t>Step</w:t>
            </w:r>
          </w:p>
        </w:tc>
        <w:tc>
          <w:tcPr>
            <w:tcW w:w="2880" w:type="dxa"/>
            <w:shd w:val="clear" w:color="auto" w:fill="12233F"/>
            <w:tcMar>
              <w:top w:w="120" w:type="dxa"/>
              <w:left w:w="120" w:type="dxa"/>
              <w:bottom w:w="120" w:type="dxa"/>
              <w:right w:w="120" w:type="dxa"/>
            </w:tcMar>
          </w:tcPr>
          <w:p w14:paraId="076CCDB3" w14:textId="77777777" w:rsidR="003A60B2" w:rsidRDefault="00000000">
            <w:pPr>
              <w:jc w:val="center"/>
            </w:pPr>
            <w:r>
              <w:rPr>
                <w:b/>
                <w:color w:val="FFFFFF"/>
                <w:sz w:val="17"/>
              </w:rPr>
              <w:t>Declared Resource</w:t>
            </w:r>
          </w:p>
        </w:tc>
        <w:tc>
          <w:tcPr>
            <w:tcW w:w="5832" w:type="dxa"/>
            <w:shd w:val="clear" w:color="auto" w:fill="12233F"/>
            <w:tcMar>
              <w:top w:w="120" w:type="dxa"/>
              <w:left w:w="120" w:type="dxa"/>
              <w:bottom w:w="120" w:type="dxa"/>
              <w:right w:w="120" w:type="dxa"/>
            </w:tcMar>
          </w:tcPr>
          <w:p w14:paraId="741BFA68" w14:textId="77777777" w:rsidR="003A60B2" w:rsidRDefault="00000000">
            <w:pPr>
              <w:jc w:val="center"/>
            </w:pPr>
            <w:r>
              <w:rPr>
                <w:b/>
                <w:color w:val="FFFFFF"/>
                <w:sz w:val="17"/>
              </w:rPr>
              <w:t>Configuration in This Template</w:t>
            </w:r>
          </w:p>
        </w:tc>
      </w:tr>
      <w:tr w:rsidR="003A60B2" w14:paraId="0F4D8018" w14:textId="77777777">
        <w:trPr>
          <w:jc w:val="center"/>
        </w:trPr>
        <w:tc>
          <w:tcPr>
            <w:tcW w:w="792" w:type="dxa"/>
            <w:shd w:val="clear" w:color="auto" w:fill="F5F8FC"/>
            <w:tcMar>
              <w:top w:w="120" w:type="dxa"/>
              <w:left w:w="120" w:type="dxa"/>
              <w:bottom w:w="120" w:type="dxa"/>
              <w:right w:w="120" w:type="dxa"/>
            </w:tcMar>
            <w:vAlign w:val="center"/>
          </w:tcPr>
          <w:p w14:paraId="06FD45BF" w14:textId="77777777" w:rsidR="003A60B2" w:rsidRDefault="00000000">
            <w:pPr>
              <w:spacing w:after="20"/>
            </w:pPr>
            <w:r>
              <w:rPr>
                <w:sz w:val="17"/>
              </w:rPr>
              <w:t>1</w:t>
            </w:r>
          </w:p>
        </w:tc>
        <w:tc>
          <w:tcPr>
            <w:tcW w:w="2880" w:type="dxa"/>
            <w:shd w:val="clear" w:color="auto" w:fill="F5F8FC"/>
            <w:tcMar>
              <w:top w:w="120" w:type="dxa"/>
              <w:left w:w="120" w:type="dxa"/>
              <w:bottom w:w="120" w:type="dxa"/>
              <w:right w:w="120" w:type="dxa"/>
            </w:tcMar>
            <w:vAlign w:val="center"/>
          </w:tcPr>
          <w:p w14:paraId="3D697326" w14:textId="77777777" w:rsidR="003A60B2" w:rsidRDefault="00000000">
            <w:pPr>
              <w:spacing w:after="20"/>
            </w:pPr>
            <w:r>
              <w:rPr>
                <w:sz w:val="17"/>
              </w:rPr>
              <w:t>Azure Virtual Network</w:t>
            </w:r>
          </w:p>
        </w:tc>
        <w:tc>
          <w:tcPr>
            <w:tcW w:w="5832" w:type="dxa"/>
            <w:shd w:val="clear" w:color="auto" w:fill="F5F8FC"/>
            <w:tcMar>
              <w:top w:w="120" w:type="dxa"/>
              <w:left w:w="120" w:type="dxa"/>
              <w:bottom w:w="120" w:type="dxa"/>
              <w:right w:w="120" w:type="dxa"/>
            </w:tcMar>
            <w:vAlign w:val="center"/>
          </w:tcPr>
          <w:p w14:paraId="11734C94" w14:textId="77777777" w:rsidR="003A60B2" w:rsidRDefault="00000000">
            <w:pPr>
              <w:spacing w:after="20"/>
            </w:pPr>
            <w:r>
              <w:rPr>
                <w:sz w:val="17"/>
              </w:rPr>
              <w:t>10.0.0.0/16 address space with AppSubnet at 10.0.1.0/24.</w:t>
            </w:r>
          </w:p>
        </w:tc>
      </w:tr>
      <w:tr w:rsidR="003A60B2" w14:paraId="5E9B7856" w14:textId="77777777">
        <w:trPr>
          <w:jc w:val="center"/>
        </w:trPr>
        <w:tc>
          <w:tcPr>
            <w:tcW w:w="792" w:type="dxa"/>
            <w:shd w:val="clear" w:color="auto" w:fill="FFFFFF"/>
            <w:tcMar>
              <w:top w:w="120" w:type="dxa"/>
              <w:left w:w="120" w:type="dxa"/>
              <w:bottom w:w="120" w:type="dxa"/>
              <w:right w:w="120" w:type="dxa"/>
            </w:tcMar>
            <w:vAlign w:val="center"/>
          </w:tcPr>
          <w:p w14:paraId="2B37C048" w14:textId="77777777" w:rsidR="003A60B2" w:rsidRDefault="00000000">
            <w:pPr>
              <w:spacing w:after="20"/>
            </w:pPr>
            <w:r>
              <w:rPr>
                <w:sz w:val="17"/>
              </w:rPr>
              <w:t>2</w:t>
            </w:r>
          </w:p>
        </w:tc>
        <w:tc>
          <w:tcPr>
            <w:tcW w:w="2880" w:type="dxa"/>
            <w:shd w:val="clear" w:color="auto" w:fill="FFFFFF"/>
            <w:tcMar>
              <w:top w:w="120" w:type="dxa"/>
              <w:left w:w="120" w:type="dxa"/>
              <w:bottom w:w="120" w:type="dxa"/>
              <w:right w:w="120" w:type="dxa"/>
            </w:tcMar>
            <w:vAlign w:val="center"/>
          </w:tcPr>
          <w:p w14:paraId="14D86067" w14:textId="77777777" w:rsidR="003A60B2" w:rsidRDefault="00000000">
            <w:pPr>
              <w:spacing w:after="20"/>
            </w:pPr>
            <w:r>
              <w:rPr>
                <w:sz w:val="17"/>
              </w:rPr>
              <w:t>Azure Key Vault</w:t>
            </w:r>
          </w:p>
        </w:tc>
        <w:tc>
          <w:tcPr>
            <w:tcW w:w="5832" w:type="dxa"/>
            <w:shd w:val="clear" w:color="auto" w:fill="FFFFFF"/>
            <w:tcMar>
              <w:top w:w="120" w:type="dxa"/>
              <w:left w:w="120" w:type="dxa"/>
              <w:bottom w:w="120" w:type="dxa"/>
              <w:right w:w="120" w:type="dxa"/>
            </w:tcMar>
            <w:vAlign w:val="center"/>
          </w:tcPr>
          <w:p w14:paraId="4BF70584" w14:textId="77777777" w:rsidR="003A60B2" w:rsidRDefault="00000000">
            <w:pPr>
              <w:spacing w:after="20"/>
            </w:pPr>
            <w:r>
              <w:rPr>
                <w:sz w:val="17"/>
              </w:rPr>
              <w:t>Standard vault, empty access policy list, and deployment, disk-encryption, and template-deployment integration flags enabled.</w:t>
            </w:r>
          </w:p>
        </w:tc>
      </w:tr>
      <w:tr w:rsidR="003A60B2" w14:paraId="19CAF4BD" w14:textId="77777777">
        <w:trPr>
          <w:jc w:val="center"/>
        </w:trPr>
        <w:tc>
          <w:tcPr>
            <w:tcW w:w="792" w:type="dxa"/>
            <w:shd w:val="clear" w:color="auto" w:fill="F5F8FC"/>
            <w:tcMar>
              <w:top w:w="120" w:type="dxa"/>
              <w:left w:w="120" w:type="dxa"/>
              <w:bottom w:w="120" w:type="dxa"/>
              <w:right w:w="120" w:type="dxa"/>
            </w:tcMar>
            <w:vAlign w:val="center"/>
          </w:tcPr>
          <w:p w14:paraId="0D645DDA" w14:textId="77777777" w:rsidR="003A60B2" w:rsidRDefault="00000000">
            <w:pPr>
              <w:spacing w:after="20"/>
            </w:pPr>
            <w:r>
              <w:rPr>
                <w:sz w:val="17"/>
              </w:rPr>
              <w:t>3</w:t>
            </w:r>
          </w:p>
        </w:tc>
        <w:tc>
          <w:tcPr>
            <w:tcW w:w="2880" w:type="dxa"/>
            <w:shd w:val="clear" w:color="auto" w:fill="F5F8FC"/>
            <w:tcMar>
              <w:top w:w="120" w:type="dxa"/>
              <w:left w:w="120" w:type="dxa"/>
              <w:bottom w:w="120" w:type="dxa"/>
              <w:right w:w="120" w:type="dxa"/>
            </w:tcMar>
            <w:vAlign w:val="center"/>
          </w:tcPr>
          <w:p w14:paraId="5E71292B" w14:textId="77777777" w:rsidR="003A60B2" w:rsidRDefault="00000000">
            <w:pPr>
              <w:spacing w:after="20"/>
            </w:pPr>
            <w:r>
              <w:rPr>
                <w:sz w:val="17"/>
              </w:rPr>
              <w:t>Azure Cosmos DB account</w:t>
            </w:r>
          </w:p>
        </w:tc>
        <w:tc>
          <w:tcPr>
            <w:tcW w:w="5832" w:type="dxa"/>
            <w:shd w:val="clear" w:color="auto" w:fill="F5F8FC"/>
            <w:tcMar>
              <w:top w:w="120" w:type="dxa"/>
              <w:left w:w="120" w:type="dxa"/>
              <w:bottom w:w="120" w:type="dxa"/>
              <w:right w:w="120" w:type="dxa"/>
            </w:tcMar>
            <w:vAlign w:val="center"/>
          </w:tcPr>
          <w:p w14:paraId="36454092" w14:textId="77777777" w:rsidR="003A60B2" w:rsidRDefault="00000000">
            <w:pPr>
              <w:spacing w:after="20"/>
            </w:pPr>
            <w:r>
              <w:rPr>
                <w:sz w:val="17"/>
              </w:rPr>
              <w:t>GlobalDocumentDB account with Standard offer type and one primary regional location.</w:t>
            </w:r>
          </w:p>
        </w:tc>
      </w:tr>
      <w:tr w:rsidR="003A60B2" w14:paraId="1F16AB22" w14:textId="77777777">
        <w:trPr>
          <w:jc w:val="center"/>
        </w:trPr>
        <w:tc>
          <w:tcPr>
            <w:tcW w:w="792" w:type="dxa"/>
            <w:shd w:val="clear" w:color="auto" w:fill="FFFFFF"/>
            <w:tcMar>
              <w:top w:w="120" w:type="dxa"/>
              <w:left w:w="120" w:type="dxa"/>
              <w:bottom w:w="120" w:type="dxa"/>
              <w:right w:w="120" w:type="dxa"/>
            </w:tcMar>
            <w:vAlign w:val="center"/>
          </w:tcPr>
          <w:p w14:paraId="1A1BA604" w14:textId="77777777" w:rsidR="003A60B2" w:rsidRDefault="00000000">
            <w:pPr>
              <w:spacing w:after="20"/>
            </w:pPr>
            <w:r>
              <w:rPr>
                <w:sz w:val="17"/>
              </w:rPr>
              <w:t>4</w:t>
            </w:r>
          </w:p>
        </w:tc>
        <w:tc>
          <w:tcPr>
            <w:tcW w:w="2880" w:type="dxa"/>
            <w:shd w:val="clear" w:color="auto" w:fill="FFFFFF"/>
            <w:tcMar>
              <w:top w:w="120" w:type="dxa"/>
              <w:left w:w="120" w:type="dxa"/>
              <w:bottom w:w="120" w:type="dxa"/>
              <w:right w:w="120" w:type="dxa"/>
            </w:tcMar>
            <w:vAlign w:val="center"/>
          </w:tcPr>
          <w:p w14:paraId="31BCB980" w14:textId="77777777" w:rsidR="003A60B2" w:rsidRDefault="00000000">
            <w:pPr>
              <w:spacing w:after="20"/>
            </w:pPr>
            <w:r>
              <w:rPr>
                <w:sz w:val="17"/>
              </w:rPr>
              <w:t>Azure OpenAI account</w:t>
            </w:r>
          </w:p>
        </w:tc>
        <w:tc>
          <w:tcPr>
            <w:tcW w:w="5832" w:type="dxa"/>
            <w:shd w:val="clear" w:color="auto" w:fill="FFFFFF"/>
            <w:tcMar>
              <w:top w:w="120" w:type="dxa"/>
              <w:left w:w="120" w:type="dxa"/>
              <w:bottom w:w="120" w:type="dxa"/>
              <w:right w:w="120" w:type="dxa"/>
            </w:tcMar>
            <w:vAlign w:val="center"/>
          </w:tcPr>
          <w:p w14:paraId="3025395E" w14:textId="77777777" w:rsidR="003A60B2" w:rsidRDefault="00000000">
            <w:pPr>
              <w:spacing w:after="20"/>
            </w:pPr>
            <w:r>
              <w:rPr>
                <w:sz w:val="17"/>
              </w:rPr>
              <w:t>OpenAI cognitive services account on S0 with a custom subdomain and public network access disabled.</w:t>
            </w:r>
          </w:p>
        </w:tc>
      </w:tr>
    </w:tbl>
    <w:p w14:paraId="43B004FA" w14:textId="77777777" w:rsidR="003A60B2" w:rsidRDefault="003A60B2">
      <w:pPr>
        <w:spacing w:after="20"/>
      </w:pPr>
    </w:p>
    <w:p w14:paraId="52BBCB8D" w14:textId="77777777" w:rsidR="003A60B2" w:rsidRDefault="00000000">
      <w:pPr>
        <w:pStyle w:val="Heading2"/>
      </w:pPr>
      <w:r>
        <w:t>Plain-English Deployment Sequence</w:t>
      </w:r>
    </w:p>
    <w:p w14:paraId="097CCD2C" w14:textId="77777777" w:rsidR="003A60B2" w:rsidRDefault="00000000">
      <w:pPr>
        <w:pStyle w:val="ListBullet"/>
        <w:spacing w:after="60"/>
        <w:ind w:left="317"/>
      </w:pPr>
      <w:r>
        <w:t>Resolve the deployment region and legalfirewall resource-name prefix.</w:t>
      </w:r>
    </w:p>
    <w:p w14:paraId="13D7C882" w14:textId="77777777" w:rsidR="003A60B2" w:rsidRDefault="00000000">
      <w:pPr>
        <w:pStyle w:val="ListBullet"/>
        <w:spacing w:after="60"/>
        <w:ind w:left="317"/>
      </w:pPr>
      <w:r>
        <w:t>Create the virtual network and AppSubnet as the intended private network foundation.</w:t>
      </w:r>
    </w:p>
    <w:p w14:paraId="5833ED8E" w14:textId="77777777" w:rsidR="003A60B2" w:rsidRDefault="00000000">
      <w:pPr>
        <w:pStyle w:val="ListBullet"/>
        <w:spacing w:after="60"/>
        <w:ind w:left="317"/>
      </w:pPr>
      <w:r>
        <w:t>Create Key Vault to centralize keys, certificates, credentials, and other protected configuration.</w:t>
      </w:r>
    </w:p>
    <w:p w14:paraId="5B2D419E" w14:textId="77777777" w:rsidR="003A60B2" w:rsidRDefault="00000000">
      <w:pPr>
        <w:pStyle w:val="ListBullet"/>
        <w:spacing w:after="60"/>
        <w:ind w:left="317"/>
      </w:pPr>
      <w:r>
        <w:t>Create the Cosmos DB account intended to hold structured JSON audit information and transaction state.</w:t>
      </w:r>
    </w:p>
    <w:p w14:paraId="723B2CDA" w14:textId="77777777" w:rsidR="003A60B2" w:rsidRDefault="00000000">
      <w:pPr>
        <w:pStyle w:val="ListBullet"/>
        <w:spacing w:after="60"/>
        <w:ind w:left="317"/>
      </w:pPr>
      <w:r>
        <w:t>Create the Azure OpenAI resource and disable its public network access.</w:t>
      </w:r>
    </w:p>
    <w:p w14:paraId="63349AF5" w14:textId="77777777" w:rsidR="003A60B2" w:rsidRDefault="00000000">
      <w:pPr>
        <w:pStyle w:val="ListBullet"/>
        <w:spacing w:after="60"/>
        <w:ind w:left="317"/>
      </w:pPr>
      <w:r>
        <w:t>Connect application workloads, identities, permissions, private endpoints, monitoring, and data-retention controls in subsequent infrastructure modules.</w:t>
      </w:r>
    </w:p>
    <w:tbl>
      <w:tblPr>
        <w:tblW w:w="0" w:type="auto"/>
        <w:jc w:val="center"/>
        <w:tblLayout w:type="fixed"/>
        <w:tblLook w:val="04A0" w:firstRow="1" w:lastRow="0" w:firstColumn="1" w:lastColumn="0" w:noHBand="0" w:noVBand="1"/>
      </w:tblPr>
      <w:tblGrid>
        <w:gridCol w:w="259"/>
        <w:gridCol w:w="9432"/>
      </w:tblGrid>
      <w:tr w:rsidR="003A60B2" w14:paraId="346BABFF" w14:textId="77777777">
        <w:trPr>
          <w:jc w:val="center"/>
        </w:trPr>
        <w:tc>
          <w:tcPr>
            <w:tcW w:w="259" w:type="dxa"/>
            <w:shd w:val="clear" w:color="auto" w:fill="D95F02"/>
          </w:tcPr>
          <w:p w14:paraId="74299B44" w14:textId="77777777" w:rsidR="003A60B2" w:rsidRDefault="003A60B2"/>
        </w:tc>
        <w:tc>
          <w:tcPr>
            <w:tcW w:w="9432" w:type="dxa"/>
            <w:shd w:val="clear" w:color="auto" w:fill="FFF4E5"/>
            <w:tcMar>
              <w:top w:w="150" w:type="dxa"/>
              <w:left w:w="150" w:type="dxa"/>
              <w:bottom w:w="150" w:type="dxa"/>
              <w:right w:w="150" w:type="dxa"/>
            </w:tcMar>
          </w:tcPr>
          <w:p w14:paraId="7B367FFA" w14:textId="77777777" w:rsidR="003A60B2" w:rsidRDefault="00000000">
            <w:r>
              <w:rPr>
                <w:b/>
                <w:color w:val="12233F"/>
                <w:sz w:val="21"/>
              </w:rPr>
              <w:t>CRITICAL READING</w:t>
            </w:r>
          </w:p>
          <w:p w14:paraId="74D898D2" w14:textId="77777777" w:rsidR="003A60B2" w:rsidRDefault="00000000">
            <w:pPr>
              <w:spacing w:after="40" w:line="259" w:lineRule="auto"/>
            </w:pPr>
            <w:r>
              <w:t>The current template provisions four resource accounts, but it does not yet connect all of them privately. The VNet exists, and Azure OpenAI public access is disabled, but no private endpoint, private DNS zone, subnet delegation, network ACL, role assignment, Cosmos DB database/container, model deployment, or monitoring resource is declared in the supplied code.</w:t>
            </w:r>
          </w:p>
        </w:tc>
      </w:tr>
    </w:tbl>
    <w:p w14:paraId="21B22B48" w14:textId="77777777" w:rsidR="003A60B2" w:rsidRDefault="003A60B2">
      <w:pPr>
        <w:spacing w:after="20"/>
      </w:pPr>
    </w:p>
    <w:p w14:paraId="4B33343C" w14:textId="77777777" w:rsidR="003A60B2" w:rsidRDefault="003A60B2">
      <w:pPr>
        <w:sectPr w:rsidR="003A60B2">
          <w:headerReference w:type="default" r:id="rId8"/>
          <w:footerReference w:type="default" r:id="rId9"/>
          <w:pgSz w:w="12240" w:h="15840"/>
          <w:pgMar w:top="893" w:right="1037" w:bottom="893" w:left="1037" w:header="720" w:footer="720" w:gutter="0"/>
          <w:cols w:space="720"/>
          <w:docGrid w:linePitch="360"/>
        </w:sectPr>
      </w:pPr>
    </w:p>
    <w:p w14:paraId="0667BBCA" w14:textId="77777777" w:rsidR="003A60B2" w:rsidRDefault="00000000">
      <w:pPr>
        <w:jc w:val="center"/>
      </w:pPr>
      <w:r>
        <w:rPr>
          <w:b/>
          <w:color w:val="12233F"/>
          <w:sz w:val="36"/>
        </w:rPr>
        <w:t>Legal Firewall Azure Infrastructure Deployment Flow</w:t>
      </w:r>
    </w:p>
    <w:p w14:paraId="549BEDA1" w14:textId="77777777" w:rsidR="003A60B2" w:rsidRDefault="00000000">
      <w:pPr>
        <w:spacing w:after="80"/>
        <w:jc w:val="center"/>
      </w:pPr>
      <w:r>
        <w:rPr>
          <w:i/>
          <w:color w:val="5E6A78"/>
          <w:sz w:val="18"/>
        </w:rPr>
        <w:t>Conceptual target flow based on the supplied Bicep resources</w:t>
      </w:r>
    </w:p>
    <w:p w14:paraId="7CF80AA2" w14:textId="77777777" w:rsidR="003A60B2" w:rsidRDefault="00000000">
      <w:pPr>
        <w:jc w:val="center"/>
      </w:pPr>
      <w:r>
        <w:rPr>
          <w:noProof/>
        </w:rPr>
        <w:drawing>
          <wp:inline distT="0" distB="0" distL="0" distR="0" wp14:anchorId="0A0260A4" wp14:editId="184227CE">
            <wp:extent cx="8321040" cy="554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6512cb50.png"/>
                    <pic:cNvPicPr/>
                  </pic:nvPicPr>
                  <pic:blipFill>
                    <a:blip r:embed="rId10"/>
                    <a:stretch>
                      <a:fillRect/>
                    </a:stretch>
                  </pic:blipFill>
                  <pic:spPr>
                    <a:xfrm>
                      <a:off x="0" y="0"/>
                      <a:ext cx="8321040" cy="5547360"/>
                    </a:xfrm>
                    <a:prstGeom prst="rect">
                      <a:avLst/>
                    </a:prstGeom>
                  </pic:spPr>
                </pic:pic>
              </a:graphicData>
            </a:graphic>
          </wp:inline>
        </w:drawing>
      </w:r>
    </w:p>
    <w:p w14:paraId="52BCDE30" w14:textId="77777777" w:rsidR="003A60B2" w:rsidRDefault="00000000">
      <w:pPr>
        <w:jc w:val="center"/>
      </w:pPr>
      <w:r>
        <w:rPr>
          <w:i/>
          <w:color w:val="B42318"/>
          <w:sz w:val="16"/>
        </w:rPr>
        <w:t>Important: the illustration shows the intended private integration target. The supplied template still requires private endpoints, DNS, identities, access controls, and service-level configuration to realize the full design.</w:t>
      </w:r>
    </w:p>
    <w:p w14:paraId="32A4C2A9" w14:textId="77777777" w:rsidR="003A60B2" w:rsidRDefault="003A60B2">
      <w:pPr>
        <w:sectPr w:rsidR="003A60B2">
          <w:pgSz w:w="15840" w:h="12240" w:orient="landscape"/>
          <w:pgMar w:top="605" w:right="648" w:bottom="605" w:left="648" w:header="720" w:footer="720" w:gutter="0"/>
          <w:cols w:space="720"/>
          <w:docGrid w:linePitch="360"/>
        </w:sectPr>
      </w:pPr>
    </w:p>
    <w:p w14:paraId="75CCA475" w14:textId="77777777" w:rsidR="003A60B2" w:rsidRDefault="00000000">
      <w:pPr>
        <w:pStyle w:val="Heading1"/>
      </w:pPr>
      <w:r>
        <w:t>Why Each Control Matters</w:t>
      </w:r>
    </w:p>
    <w:tbl>
      <w:tblPr>
        <w:tblStyle w:val="TableGrid"/>
        <w:tblW w:w="0" w:type="auto"/>
        <w:jc w:val="center"/>
        <w:tblLayout w:type="fixed"/>
        <w:tblLook w:val="04A0" w:firstRow="1" w:lastRow="0" w:firstColumn="1" w:lastColumn="0" w:noHBand="0" w:noVBand="1"/>
      </w:tblPr>
      <w:tblGrid>
        <w:gridCol w:w="2088"/>
        <w:gridCol w:w="3528"/>
        <w:gridCol w:w="3960"/>
      </w:tblGrid>
      <w:tr w:rsidR="003A60B2" w14:paraId="423943EC" w14:textId="77777777">
        <w:trPr>
          <w:jc w:val="center"/>
        </w:trPr>
        <w:tc>
          <w:tcPr>
            <w:tcW w:w="2088" w:type="dxa"/>
            <w:shd w:val="clear" w:color="auto" w:fill="12233F"/>
            <w:tcMar>
              <w:top w:w="120" w:type="dxa"/>
              <w:left w:w="120" w:type="dxa"/>
              <w:bottom w:w="120" w:type="dxa"/>
              <w:right w:w="120" w:type="dxa"/>
            </w:tcMar>
          </w:tcPr>
          <w:p w14:paraId="46CE1F41" w14:textId="77777777" w:rsidR="003A60B2" w:rsidRDefault="00000000">
            <w:pPr>
              <w:jc w:val="center"/>
            </w:pPr>
            <w:r>
              <w:rPr>
                <w:b/>
                <w:color w:val="FFFFFF"/>
                <w:sz w:val="17"/>
              </w:rPr>
              <w:t>Control</w:t>
            </w:r>
          </w:p>
        </w:tc>
        <w:tc>
          <w:tcPr>
            <w:tcW w:w="3528" w:type="dxa"/>
            <w:shd w:val="clear" w:color="auto" w:fill="12233F"/>
            <w:tcMar>
              <w:top w:w="120" w:type="dxa"/>
              <w:left w:w="120" w:type="dxa"/>
              <w:bottom w:w="120" w:type="dxa"/>
              <w:right w:w="120" w:type="dxa"/>
            </w:tcMar>
          </w:tcPr>
          <w:p w14:paraId="6C91D91A" w14:textId="77777777" w:rsidR="003A60B2" w:rsidRDefault="00000000">
            <w:pPr>
              <w:jc w:val="center"/>
            </w:pPr>
            <w:r>
              <w:rPr>
                <w:b/>
                <w:color w:val="FFFFFF"/>
                <w:sz w:val="17"/>
              </w:rPr>
              <w:t>Why It Matters</w:t>
            </w:r>
          </w:p>
        </w:tc>
        <w:tc>
          <w:tcPr>
            <w:tcW w:w="3960" w:type="dxa"/>
            <w:shd w:val="clear" w:color="auto" w:fill="12233F"/>
            <w:tcMar>
              <w:top w:w="120" w:type="dxa"/>
              <w:left w:w="120" w:type="dxa"/>
              <w:bottom w:w="120" w:type="dxa"/>
              <w:right w:w="120" w:type="dxa"/>
            </w:tcMar>
          </w:tcPr>
          <w:p w14:paraId="3242A824" w14:textId="77777777" w:rsidR="003A60B2" w:rsidRDefault="00000000">
            <w:pPr>
              <w:jc w:val="center"/>
            </w:pPr>
            <w:r>
              <w:rPr>
                <w:b/>
                <w:color w:val="FFFFFF"/>
                <w:sz w:val="17"/>
              </w:rPr>
              <w:t>Why It Is Important for DRE</w:t>
            </w:r>
          </w:p>
        </w:tc>
      </w:tr>
      <w:tr w:rsidR="003A60B2" w14:paraId="0E5E1ACC" w14:textId="77777777">
        <w:trPr>
          <w:jc w:val="center"/>
        </w:trPr>
        <w:tc>
          <w:tcPr>
            <w:tcW w:w="2088" w:type="dxa"/>
            <w:shd w:val="clear" w:color="auto" w:fill="F5F8FC"/>
            <w:tcMar>
              <w:top w:w="120" w:type="dxa"/>
              <w:left w:w="120" w:type="dxa"/>
              <w:bottom w:w="120" w:type="dxa"/>
              <w:right w:w="120" w:type="dxa"/>
            </w:tcMar>
            <w:vAlign w:val="center"/>
          </w:tcPr>
          <w:p w14:paraId="29EF7C38" w14:textId="77777777" w:rsidR="003A60B2" w:rsidRDefault="00000000">
            <w:pPr>
              <w:spacing w:after="20"/>
            </w:pPr>
            <w:r>
              <w:rPr>
                <w:sz w:val="17"/>
              </w:rPr>
              <w:t>Consistent parameters and naming</w:t>
            </w:r>
          </w:p>
        </w:tc>
        <w:tc>
          <w:tcPr>
            <w:tcW w:w="3528" w:type="dxa"/>
            <w:shd w:val="clear" w:color="auto" w:fill="F5F8FC"/>
            <w:tcMar>
              <w:top w:w="120" w:type="dxa"/>
              <w:left w:w="120" w:type="dxa"/>
              <w:bottom w:w="120" w:type="dxa"/>
              <w:right w:w="120" w:type="dxa"/>
            </w:tcMar>
            <w:vAlign w:val="center"/>
          </w:tcPr>
          <w:p w14:paraId="637D2EC2" w14:textId="77777777" w:rsidR="003A60B2" w:rsidRDefault="00000000">
            <w:pPr>
              <w:spacing w:after="20"/>
            </w:pPr>
            <w:r>
              <w:rPr>
                <w:sz w:val="17"/>
              </w:rPr>
              <w:t>Repeatable naming and region selection reduce manual deployment variation.</w:t>
            </w:r>
          </w:p>
        </w:tc>
        <w:tc>
          <w:tcPr>
            <w:tcW w:w="3960" w:type="dxa"/>
            <w:shd w:val="clear" w:color="auto" w:fill="F5F8FC"/>
            <w:tcMar>
              <w:top w:w="120" w:type="dxa"/>
              <w:left w:w="120" w:type="dxa"/>
              <w:bottom w:w="120" w:type="dxa"/>
              <w:right w:w="120" w:type="dxa"/>
            </w:tcMar>
            <w:vAlign w:val="center"/>
          </w:tcPr>
          <w:p w14:paraId="5477AE14" w14:textId="77777777" w:rsidR="003A60B2" w:rsidRDefault="00000000">
            <w:pPr>
              <w:spacing w:after="20"/>
            </w:pPr>
            <w:r>
              <w:rPr>
                <w:sz w:val="17"/>
              </w:rPr>
              <w:t>A controlled platform benefits from predictable environments, easier inventory, and clearer operational ownership.</w:t>
            </w:r>
          </w:p>
        </w:tc>
      </w:tr>
      <w:tr w:rsidR="003A60B2" w14:paraId="3615BE4E" w14:textId="77777777">
        <w:trPr>
          <w:jc w:val="center"/>
        </w:trPr>
        <w:tc>
          <w:tcPr>
            <w:tcW w:w="2088" w:type="dxa"/>
            <w:shd w:val="clear" w:color="auto" w:fill="FFFFFF"/>
            <w:tcMar>
              <w:top w:w="120" w:type="dxa"/>
              <w:left w:w="120" w:type="dxa"/>
              <w:bottom w:w="120" w:type="dxa"/>
              <w:right w:w="120" w:type="dxa"/>
            </w:tcMar>
            <w:vAlign w:val="center"/>
          </w:tcPr>
          <w:p w14:paraId="4B36BC4E" w14:textId="77777777" w:rsidR="003A60B2" w:rsidRDefault="00000000">
            <w:pPr>
              <w:spacing w:after="20"/>
            </w:pPr>
            <w:r>
              <w:rPr>
                <w:sz w:val="17"/>
              </w:rPr>
              <w:t>Virtual network boundary</w:t>
            </w:r>
          </w:p>
        </w:tc>
        <w:tc>
          <w:tcPr>
            <w:tcW w:w="3528" w:type="dxa"/>
            <w:shd w:val="clear" w:color="auto" w:fill="FFFFFF"/>
            <w:tcMar>
              <w:top w:w="120" w:type="dxa"/>
              <w:left w:w="120" w:type="dxa"/>
              <w:bottom w:w="120" w:type="dxa"/>
              <w:right w:w="120" w:type="dxa"/>
            </w:tcMar>
            <w:vAlign w:val="center"/>
          </w:tcPr>
          <w:p w14:paraId="0DE2DF05" w14:textId="77777777" w:rsidR="003A60B2" w:rsidRDefault="00000000">
            <w:pPr>
              <w:spacing w:after="20"/>
            </w:pPr>
            <w:r>
              <w:rPr>
                <w:sz w:val="17"/>
              </w:rPr>
              <w:t>A VNet provides the address space into which private endpoints and application workloads can be attached.</w:t>
            </w:r>
          </w:p>
        </w:tc>
        <w:tc>
          <w:tcPr>
            <w:tcW w:w="3960" w:type="dxa"/>
            <w:shd w:val="clear" w:color="auto" w:fill="FFFFFF"/>
            <w:tcMar>
              <w:top w:w="120" w:type="dxa"/>
              <w:left w:w="120" w:type="dxa"/>
              <w:bottom w:w="120" w:type="dxa"/>
              <w:right w:w="120" w:type="dxa"/>
            </w:tcMar>
            <w:vAlign w:val="center"/>
          </w:tcPr>
          <w:p w14:paraId="53927EC2" w14:textId="77777777" w:rsidR="003A60B2" w:rsidRDefault="00000000">
            <w:pPr>
              <w:spacing w:after="20"/>
            </w:pPr>
            <w:r>
              <w:rPr>
                <w:sz w:val="17"/>
              </w:rPr>
              <w:t>Sensitive billing transactions should follow explicitly designed network paths rather than default public connectivity.</w:t>
            </w:r>
          </w:p>
        </w:tc>
      </w:tr>
      <w:tr w:rsidR="003A60B2" w14:paraId="31F2F4BD" w14:textId="77777777">
        <w:trPr>
          <w:jc w:val="center"/>
        </w:trPr>
        <w:tc>
          <w:tcPr>
            <w:tcW w:w="2088" w:type="dxa"/>
            <w:shd w:val="clear" w:color="auto" w:fill="F5F8FC"/>
            <w:tcMar>
              <w:top w:w="120" w:type="dxa"/>
              <w:left w:w="120" w:type="dxa"/>
              <w:bottom w:w="120" w:type="dxa"/>
              <w:right w:w="120" w:type="dxa"/>
            </w:tcMar>
            <w:vAlign w:val="center"/>
          </w:tcPr>
          <w:p w14:paraId="7B328A67" w14:textId="77777777" w:rsidR="003A60B2" w:rsidRDefault="00000000">
            <w:pPr>
              <w:spacing w:after="20"/>
            </w:pPr>
            <w:r>
              <w:rPr>
                <w:sz w:val="17"/>
              </w:rPr>
              <w:t>Centralized key management</w:t>
            </w:r>
          </w:p>
        </w:tc>
        <w:tc>
          <w:tcPr>
            <w:tcW w:w="3528" w:type="dxa"/>
            <w:shd w:val="clear" w:color="auto" w:fill="F5F8FC"/>
            <w:tcMar>
              <w:top w:w="120" w:type="dxa"/>
              <w:left w:w="120" w:type="dxa"/>
              <w:bottom w:w="120" w:type="dxa"/>
              <w:right w:w="120" w:type="dxa"/>
            </w:tcMar>
            <w:vAlign w:val="center"/>
          </w:tcPr>
          <w:p w14:paraId="5CF489FA" w14:textId="77777777" w:rsidR="003A60B2" w:rsidRDefault="00000000">
            <w:pPr>
              <w:spacing w:after="20"/>
            </w:pPr>
            <w:r>
              <w:rPr>
                <w:sz w:val="17"/>
              </w:rPr>
              <w:t>Key Vault provides a dedicated resource for keys, secrets, and certificates.</w:t>
            </w:r>
          </w:p>
        </w:tc>
        <w:tc>
          <w:tcPr>
            <w:tcW w:w="3960" w:type="dxa"/>
            <w:shd w:val="clear" w:color="auto" w:fill="F5F8FC"/>
            <w:tcMar>
              <w:top w:w="120" w:type="dxa"/>
              <w:left w:w="120" w:type="dxa"/>
              <w:bottom w:w="120" w:type="dxa"/>
              <w:right w:w="120" w:type="dxa"/>
            </w:tcMar>
            <w:vAlign w:val="center"/>
          </w:tcPr>
          <w:p w14:paraId="2C5E1FB4" w14:textId="77777777" w:rsidR="003A60B2" w:rsidRDefault="00000000">
            <w:pPr>
              <w:spacing w:after="20"/>
            </w:pPr>
            <w:r>
              <w:rPr>
                <w:sz w:val="17"/>
              </w:rPr>
              <w:t>Separating protected material from application code supports stronger credential handling and rotation practices.</w:t>
            </w:r>
          </w:p>
        </w:tc>
      </w:tr>
      <w:tr w:rsidR="003A60B2" w14:paraId="0FC323EE" w14:textId="77777777">
        <w:trPr>
          <w:jc w:val="center"/>
        </w:trPr>
        <w:tc>
          <w:tcPr>
            <w:tcW w:w="2088" w:type="dxa"/>
            <w:shd w:val="clear" w:color="auto" w:fill="FFFFFF"/>
            <w:tcMar>
              <w:top w:w="120" w:type="dxa"/>
              <w:left w:w="120" w:type="dxa"/>
              <w:bottom w:w="120" w:type="dxa"/>
              <w:right w:w="120" w:type="dxa"/>
            </w:tcMar>
            <w:vAlign w:val="center"/>
          </w:tcPr>
          <w:p w14:paraId="50A3C0EA" w14:textId="77777777" w:rsidR="003A60B2" w:rsidRDefault="00000000">
            <w:pPr>
              <w:spacing w:after="20"/>
            </w:pPr>
            <w:r>
              <w:rPr>
                <w:sz w:val="17"/>
              </w:rPr>
              <w:t>Structured audit account</w:t>
            </w:r>
          </w:p>
        </w:tc>
        <w:tc>
          <w:tcPr>
            <w:tcW w:w="3528" w:type="dxa"/>
            <w:shd w:val="clear" w:color="auto" w:fill="FFFFFF"/>
            <w:tcMar>
              <w:top w:w="120" w:type="dxa"/>
              <w:left w:w="120" w:type="dxa"/>
              <w:bottom w:w="120" w:type="dxa"/>
              <w:right w:w="120" w:type="dxa"/>
            </w:tcMar>
            <w:vAlign w:val="center"/>
          </w:tcPr>
          <w:p w14:paraId="352CAB13" w14:textId="77777777" w:rsidR="003A60B2" w:rsidRDefault="00000000">
            <w:pPr>
              <w:spacing w:after="20"/>
            </w:pPr>
            <w:r>
              <w:rPr>
                <w:sz w:val="17"/>
              </w:rPr>
              <w:t>Cosmos DB is provisioned as the account intended for JSON-oriented transaction and audit records.</w:t>
            </w:r>
          </w:p>
        </w:tc>
        <w:tc>
          <w:tcPr>
            <w:tcW w:w="3960" w:type="dxa"/>
            <w:shd w:val="clear" w:color="auto" w:fill="FFFFFF"/>
            <w:tcMar>
              <w:top w:w="120" w:type="dxa"/>
              <w:left w:w="120" w:type="dxa"/>
              <w:bottom w:w="120" w:type="dxa"/>
              <w:right w:w="120" w:type="dxa"/>
            </w:tcMar>
            <w:vAlign w:val="center"/>
          </w:tcPr>
          <w:p w14:paraId="0DABB81F" w14:textId="77777777" w:rsidR="003A60B2" w:rsidRDefault="00000000">
            <w:pPr>
              <w:spacing w:after="20"/>
            </w:pPr>
            <w:r>
              <w:rPr>
                <w:sz w:val="17"/>
              </w:rPr>
              <w:t>DRE needs a durable record of input, rule path, processing state, recommendation, and authorized disposition.</w:t>
            </w:r>
          </w:p>
        </w:tc>
      </w:tr>
      <w:tr w:rsidR="003A60B2" w14:paraId="47FB47E6" w14:textId="77777777">
        <w:trPr>
          <w:jc w:val="center"/>
        </w:trPr>
        <w:tc>
          <w:tcPr>
            <w:tcW w:w="2088" w:type="dxa"/>
            <w:shd w:val="clear" w:color="auto" w:fill="F5F8FC"/>
            <w:tcMar>
              <w:top w:w="120" w:type="dxa"/>
              <w:left w:w="120" w:type="dxa"/>
              <w:bottom w:w="120" w:type="dxa"/>
              <w:right w:w="120" w:type="dxa"/>
            </w:tcMar>
            <w:vAlign w:val="center"/>
          </w:tcPr>
          <w:p w14:paraId="4C460A72" w14:textId="77777777" w:rsidR="003A60B2" w:rsidRDefault="00000000">
            <w:pPr>
              <w:spacing w:after="20"/>
            </w:pPr>
            <w:r>
              <w:rPr>
                <w:sz w:val="17"/>
              </w:rPr>
              <w:t>OpenAI public access disabled</w:t>
            </w:r>
          </w:p>
        </w:tc>
        <w:tc>
          <w:tcPr>
            <w:tcW w:w="3528" w:type="dxa"/>
            <w:shd w:val="clear" w:color="auto" w:fill="F5F8FC"/>
            <w:tcMar>
              <w:top w:w="120" w:type="dxa"/>
              <w:left w:w="120" w:type="dxa"/>
              <w:bottom w:w="120" w:type="dxa"/>
              <w:right w:w="120" w:type="dxa"/>
            </w:tcMar>
            <w:vAlign w:val="center"/>
          </w:tcPr>
          <w:p w14:paraId="360B9EF7" w14:textId="77777777" w:rsidR="003A60B2" w:rsidRDefault="00000000">
            <w:pPr>
              <w:spacing w:after="20"/>
            </w:pPr>
            <w:r>
              <w:rPr>
                <w:sz w:val="17"/>
              </w:rPr>
              <w:t>The OpenAI resource rejects public network access at the account setting level.</w:t>
            </w:r>
          </w:p>
        </w:tc>
        <w:tc>
          <w:tcPr>
            <w:tcW w:w="3960" w:type="dxa"/>
            <w:shd w:val="clear" w:color="auto" w:fill="F5F8FC"/>
            <w:tcMar>
              <w:top w:w="120" w:type="dxa"/>
              <w:left w:w="120" w:type="dxa"/>
              <w:bottom w:w="120" w:type="dxa"/>
              <w:right w:w="120" w:type="dxa"/>
            </w:tcMar>
            <w:vAlign w:val="center"/>
          </w:tcPr>
          <w:p w14:paraId="76DE449E" w14:textId="77777777" w:rsidR="003A60B2" w:rsidRDefault="00000000">
            <w:pPr>
              <w:spacing w:after="20"/>
            </w:pPr>
            <w:r>
              <w:rPr>
                <w:sz w:val="17"/>
              </w:rPr>
              <w:t>Model evaluation should be reachable only through an approved private connectivity design once the private endpoint and DNS configuration are added.</w:t>
            </w:r>
          </w:p>
        </w:tc>
      </w:tr>
      <w:tr w:rsidR="003A60B2" w14:paraId="179363DD" w14:textId="77777777">
        <w:trPr>
          <w:jc w:val="center"/>
        </w:trPr>
        <w:tc>
          <w:tcPr>
            <w:tcW w:w="2088" w:type="dxa"/>
            <w:shd w:val="clear" w:color="auto" w:fill="FFFFFF"/>
            <w:tcMar>
              <w:top w:w="120" w:type="dxa"/>
              <w:left w:w="120" w:type="dxa"/>
              <w:bottom w:w="120" w:type="dxa"/>
              <w:right w:w="120" w:type="dxa"/>
            </w:tcMar>
            <w:vAlign w:val="center"/>
          </w:tcPr>
          <w:p w14:paraId="0E022EFB" w14:textId="77777777" w:rsidR="003A60B2" w:rsidRDefault="00000000">
            <w:pPr>
              <w:spacing w:after="20"/>
            </w:pPr>
            <w:r>
              <w:rPr>
                <w:sz w:val="17"/>
              </w:rPr>
              <w:t>Infrastructure as code</w:t>
            </w:r>
          </w:p>
        </w:tc>
        <w:tc>
          <w:tcPr>
            <w:tcW w:w="3528" w:type="dxa"/>
            <w:shd w:val="clear" w:color="auto" w:fill="FFFFFF"/>
            <w:tcMar>
              <w:top w:w="120" w:type="dxa"/>
              <w:left w:w="120" w:type="dxa"/>
              <w:bottom w:w="120" w:type="dxa"/>
              <w:right w:w="120" w:type="dxa"/>
            </w:tcMar>
            <w:vAlign w:val="center"/>
          </w:tcPr>
          <w:p w14:paraId="04D1004B" w14:textId="77777777" w:rsidR="003A60B2" w:rsidRDefault="00000000">
            <w:pPr>
              <w:spacing w:after="20"/>
            </w:pPr>
            <w:r>
              <w:rPr>
                <w:sz w:val="17"/>
              </w:rPr>
              <w:t>Bicep expresses the resources declaratively and supports repeatable Azure deployment.</w:t>
            </w:r>
          </w:p>
        </w:tc>
        <w:tc>
          <w:tcPr>
            <w:tcW w:w="3960" w:type="dxa"/>
            <w:shd w:val="clear" w:color="auto" w:fill="FFFFFF"/>
            <w:tcMar>
              <w:top w:w="120" w:type="dxa"/>
              <w:left w:w="120" w:type="dxa"/>
              <w:bottom w:w="120" w:type="dxa"/>
              <w:right w:w="120" w:type="dxa"/>
            </w:tcMar>
            <w:vAlign w:val="center"/>
          </w:tcPr>
          <w:p w14:paraId="6104FE0F" w14:textId="77777777" w:rsidR="003A60B2" w:rsidRDefault="00000000">
            <w:pPr>
              <w:spacing w:after="20"/>
            </w:pPr>
            <w:r>
              <w:rPr>
                <w:sz w:val="17"/>
              </w:rPr>
              <w:t>Versioned infrastructure definitions make architectural changes reviewable and reduce undocumented configuration drift.</w:t>
            </w:r>
          </w:p>
        </w:tc>
      </w:tr>
    </w:tbl>
    <w:p w14:paraId="0C6AC3AB" w14:textId="77777777" w:rsidR="003A60B2" w:rsidRDefault="003A60B2">
      <w:pPr>
        <w:spacing w:after="20"/>
      </w:pPr>
    </w:p>
    <w:p w14:paraId="76E13B4E" w14:textId="77777777" w:rsidR="003A60B2" w:rsidRDefault="00000000">
      <w:pPr>
        <w:pStyle w:val="Heading2"/>
      </w:pPr>
      <w:r>
        <w:t>Why the Combined Architecture Is Important</w:t>
      </w:r>
    </w:p>
    <w:p w14:paraId="39AD046A" w14:textId="77777777" w:rsidR="003A60B2" w:rsidRDefault="00000000">
      <w:pPr>
        <w:spacing w:after="120" w:line="269" w:lineRule="auto"/>
      </w:pPr>
      <w:r>
        <w:t>The value is not any single Azure resource. The value comes from combining network isolation, controlled identity, protected secrets, structured evidence storage, and restricted model access into one governed processing boundary. For DRE, that boundary helps preserve the distinction between the original billing transaction, deterministic findings, AI-assisted evaluation, and the final authorized action.</w:t>
      </w:r>
    </w:p>
    <w:tbl>
      <w:tblPr>
        <w:tblW w:w="0" w:type="auto"/>
        <w:jc w:val="center"/>
        <w:tblLayout w:type="fixed"/>
        <w:tblLook w:val="04A0" w:firstRow="1" w:lastRow="0" w:firstColumn="1" w:lastColumn="0" w:noHBand="0" w:noVBand="1"/>
      </w:tblPr>
      <w:tblGrid>
        <w:gridCol w:w="259"/>
        <w:gridCol w:w="9432"/>
      </w:tblGrid>
      <w:tr w:rsidR="003A60B2" w14:paraId="287758FD" w14:textId="77777777">
        <w:trPr>
          <w:jc w:val="center"/>
        </w:trPr>
        <w:tc>
          <w:tcPr>
            <w:tcW w:w="259" w:type="dxa"/>
            <w:shd w:val="clear" w:color="auto" w:fill="238636"/>
          </w:tcPr>
          <w:p w14:paraId="3D8F31B2" w14:textId="77777777" w:rsidR="003A60B2" w:rsidRDefault="003A60B2"/>
        </w:tc>
        <w:tc>
          <w:tcPr>
            <w:tcW w:w="9432" w:type="dxa"/>
            <w:shd w:val="clear" w:color="auto" w:fill="EAF6EC"/>
            <w:tcMar>
              <w:top w:w="150" w:type="dxa"/>
              <w:left w:w="150" w:type="dxa"/>
              <w:bottom w:w="150" w:type="dxa"/>
              <w:right w:w="150" w:type="dxa"/>
            </w:tcMar>
          </w:tcPr>
          <w:p w14:paraId="397255AD" w14:textId="77777777" w:rsidR="003A60B2" w:rsidRDefault="00000000">
            <w:r>
              <w:rPr>
                <w:b/>
                <w:color w:val="12233F"/>
                <w:sz w:val="21"/>
              </w:rPr>
              <w:t>INVESTOR AND CUSTOMER SIGNIFICANCE</w:t>
            </w:r>
          </w:p>
          <w:p w14:paraId="724DA9C8" w14:textId="77777777" w:rsidR="003A60B2" w:rsidRDefault="00000000">
            <w:pPr>
              <w:spacing w:after="40" w:line="259" w:lineRule="auto"/>
            </w:pPr>
            <w:r>
              <w:t>This infrastructure direction supports a credible enterprise story: deterministic processing first, controlled AI access, explicit evidence storage, and a deployment model designed for customer governance. Stronger claims should wait until the missing private networking, authorization, monitoring, retention, and model-deployment controls are implemented and tested.</w:t>
            </w:r>
          </w:p>
        </w:tc>
      </w:tr>
    </w:tbl>
    <w:p w14:paraId="059DBB27" w14:textId="77777777" w:rsidR="003A60B2" w:rsidRDefault="003A60B2">
      <w:pPr>
        <w:spacing w:after="20"/>
      </w:pPr>
    </w:p>
    <w:p w14:paraId="0F218776" w14:textId="77777777" w:rsidR="003A60B2" w:rsidRDefault="00000000">
      <w:pPr>
        <w:pStyle w:val="Heading1"/>
      </w:pPr>
      <w:r>
        <w:t>Current-State Gap Review</w:t>
      </w:r>
    </w:p>
    <w:p w14:paraId="14566780" w14:textId="77777777" w:rsidR="003A60B2" w:rsidRDefault="00000000">
      <w:pPr>
        <w:spacing w:after="120" w:line="269" w:lineRule="auto"/>
      </w:pPr>
      <w:r>
        <w:t>The Bicep is a useful foundation, not a complete secure production deployment. The following items should be treated as implementation work rather than assumed capabilities.</w:t>
      </w:r>
    </w:p>
    <w:tbl>
      <w:tblPr>
        <w:tblStyle w:val="TableGrid"/>
        <w:tblW w:w="0" w:type="auto"/>
        <w:jc w:val="center"/>
        <w:tblLayout w:type="fixed"/>
        <w:tblLook w:val="04A0" w:firstRow="1" w:lastRow="0" w:firstColumn="1" w:lastColumn="0" w:noHBand="0" w:noVBand="1"/>
      </w:tblPr>
      <w:tblGrid>
        <w:gridCol w:w="1800"/>
        <w:gridCol w:w="3240"/>
        <w:gridCol w:w="4536"/>
      </w:tblGrid>
      <w:tr w:rsidR="003A60B2" w14:paraId="12E05CC3" w14:textId="77777777">
        <w:trPr>
          <w:jc w:val="center"/>
        </w:trPr>
        <w:tc>
          <w:tcPr>
            <w:tcW w:w="1800" w:type="dxa"/>
            <w:shd w:val="clear" w:color="auto" w:fill="12233F"/>
            <w:tcMar>
              <w:top w:w="120" w:type="dxa"/>
              <w:left w:w="120" w:type="dxa"/>
              <w:bottom w:w="120" w:type="dxa"/>
              <w:right w:w="120" w:type="dxa"/>
            </w:tcMar>
          </w:tcPr>
          <w:p w14:paraId="51CD64BA" w14:textId="77777777" w:rsidR="003A60B2" w:rsidRDefault="00000000">
            <w:pPr>
              <w:jc w:val="center"/>
            </w:pPr>
            <w:r>
              <w:rPr>
                <w:b/>
                <w:color w:val="FFFFFF"/>
                <w:sz w:val="17"/>
              </w:rPr>
              <w:t>Area</w:t>
            </w:r>
          </w:p>
        </w:tc>
        <w:tc>
          <w:tcPr>
            <w:tcW w:w="3240" w:type="dxa"/>
            <w:shd w:val="clear" w:color="auto" w:fill="12233F"/>
            <w:tcMar>
              <w:top w:w="120" w:type="dxa"/>
              <w:left w:w="120" w:type="dxa"/>
              <w:bottom w:w="120" w:type="dxa"/>
              <w:right w:w="120" w:type="dxa"/>
            </w:tcMar>
          </w:tcPr>
          <w:p w14:paraId="4F9E1B7F" w14:textId="77777777" w:rsidR="003A60B2" w:rsidRDefault="00000000">
            <w:pPr>
              <w:jc w:val="center"/>
            </w:pPr>
            <w:r>
              <w:rPr>
                <w:b/>
                <w:color w:val="FFFFFF"/>
                <w:sz w:val="17"/>
              </w:rPr>
              <w:t>Present in Supplied Code</w:t>
            </w:r>
          </w:p>
        </w:tc>
        <w:tc>
          <w:tcPr>
            <w:tcW w:w="4536" w:type="dxa"/>
            <w:shd w:val="clear" w:color="auto" w:fill="12233F"/>
            <w:tcMar>
              <w:top w:w="120" w:type="dxa"/>
              <w:left w:w="120" w:type="dxa"/>
              <w:bottom w:w="120" w:type="dxa"/>
              <w:right w:w="120" w:type="dxa"/>
            </w:tcMar>
          </w:tcPr>
          <w:p w14:paraId="7F91AE80" w14:textId="77777777" w:rsidR="003A60B2" w:rsidRDefault="00000000">
            <w:pPr>
              <w:jc w:val="center"/>
            </w:pPr>
            <w:r>
              <w:rPr>
                <w:b/>
                <w:color w:val="FFFFFF"/>
                <w:sz w:val="17"/>
              </w:rPr>
              <w:t>Still Needed for the Intended Design</w:t>
            </w:r>
          </w:p>
        </w:tc>
      </w:tr>
      <w:tr w:rsidR="003A60B2" w14:paraId="673E14BD" w14:textId="77777777">
        <w:trPr>
          <w:jc w:val="center"/>
        </w:trPr>
        <w:tc>
          <w:tcPr>
            <w:tcW w:w="1800" w:type="dxa"/>
            <w:shd w:val="clear" w:color="auto" w:fill="F5F8FC"/>
            <w:tcMar>
              <w:top w:w="120" w:type="dxa"/>
              <w:left w:w="120" w:type="dxa"/>
              <w:bottom w:w="120" w:type="dxa"/>
              <w:right w:w="120" w:type="dxa"/>
            </w:tcMar>
            <w:vAlign w:val="center"/>
          </w:tcPr>
          <w:p w14:paraId="44536CD9" w14:textId="77777777" w:rsidR="003A60B2" w:rsidRDefault="00000000">
            <w:pPr>
              <w:spacing w:after="20"/>
            </w:pPr>
            <w:r>
              <w:rPr>
                <w:sz w:val="17"/>
              </w:rPr>
              <w:t>Network</w:t>
            </w:r>
          </w:p>
        </w:tc>
        <w:tc>
          <w:tcPr>
            <w:tcW w:w="3240" w:type="dxa"/>
            <w:shd w:val="clear" w:color="auto" w:fill="F5F8FC"/>
            <w:tcMar>
              <w:top w:w="120" w:type="dxa"/>
              <w:left w:w="120" w:type="dxa"/>
              <w:bottom w:w="120" w:type="dxa"/>
              <w:right w:w="120" w:type="dxa"/>
            </w:tcMar>
            <w:vAlign w:val="center"/>
          </w:tcPr>
          <w:p w14:paraId="4F8389A9" w14:textId="77777777" w:rsidR="003A60B2" w:rsidRDefault="00000000">
            <w:pPr>
              <w:spacing w:after="20"/>
            </w:pPr>
            <w:r>
              <w:rPr>
                <w:sz w:val="17"/>
              </w:rPr>
              <w:t>VNet and AppSubnet are created.</w:t>
            </w:r>
          </w:p>
        </w:tc>
        <w:tc>
          <w:tcPr>
            <w:tcW w:w="4536" w:type="dxa"/>
            <w:shd w:val="clear" w:color="auto" w:fill="F5F8FC"/>
            <w:tcMar>
              <w:top w:w="120" w:type="dxa"/>
              <w:left w:w="120" w:type="dxa"/>
              <w:bottom w:w="120" w:type="dxa"/>
              <w:right w:w="120" w:type="dxa"/>
            </w:tcMar>
            <w:vAlign w:val="center"/>
          </w:tcPr>
          <w:p w14:paraId="04450784" w14:textId="77777777" w:rsidR="003A60B2" w:rsidRDefault="00000000">
            <w:pPr>
              <w:spacing w:after="20"/>
            </w:pPr>
            <w:r>
              <w:rPr>
                <w:sz w:val="17"/>
              </w:rPr>
              <w:t>Private endpoints, private DNS zones and links, subnet policies, routing, network security design, and workload integration.</w:t>
            </w:r>
          </w:p>
        </w:tc>
      </w:tr>
      <w:tr w:rsidR="003A60B2" w14:paraId="254E7FFC" w14:textId="77777777">
        <w:trPr>
          <w:jc w:val="center"/>
        </w:trPr>
        <w:tc>
          <w:tcPr>
            <w:tcW w:w="1800" w:type="dxa"/>
            <w:shd w:val="clear" w:color="auto" w:fill="FFFFFF"/>
            <w:tcMar>
              <w:top w:w="120" w:type="dxa"/>
              <w:left w:w="120" w:type="dxa"/>
              <w:bottom w:w="120" w:type="dxa"/>
              <w:right w:w="120" w:type="dxa"/>
            </w:tcMar>
            <w:vAlign w:val="center"/>
          </w:tcPr>
          <w:p w14:paraId="53AE82EE" w14:textId="77777777" w:rsidR="003A60B2" w:rsidRDefault="00000000">
            <w:pPr>
              <w:spacing w:after="20"/>
            </w:pPr>
            <w:r>
              <w:rPr>
                <w:sz w:val="17"/>
              </w:rPr>
              <w:t>Key Vault</w:t>
            </w:r>
          </w:p>
        </w:tc>
        <w:tc>
          <w:tcPr>
            <w:tcW w:w="3240" w:type="dxa"/>
            <w:shd w:val="clear" w:color="auto" w:fill="FFFFFF"/>
            <w:tcMar>
              <w:top w:w="120" w:type="dxa"/>
              <w:left w:w="120" w:type="dxa"/>
              <w:bottom w:w="120" w:type="dxa"/>
              <w:right w:w="120" w:type="dxa"/>
            </w:tcMar>
            <w:vAlign w:val="center"/>
          </w:tcPr>
          <w:p w14:paraId="68E1D05B" w14:textId="77777777" w:rsidR="003A60B2" w:rsidRDefault="00000000">
            <w:pPr>
              <w:spacing w:after="20"/>
            </w:pPr>
            <w:r>
              <w:rPr>
                <w:sz w:val="17"/>
              </w:rPr>
              <w:t>Vault is created with an empty accessPolicies array and deployment-related flags.</w:t>
            </w:r>
          </w:p>
        </w:tc>
        <w:tc>
          <w:tcPr>
            <w:tcW w:w="4536" w:type="dxa"/>
            <w:shd w:val="clear" w:color="auto" w:fill="FFFFFF"/>
            <w:tcMar>
              <w:top w:w="120" w:type="dxa"/>
              <w:left w:w="120" w:type="dxa"/>
              <w:bottom w:w="120" w:type="dxa"/>
              <w:right w:w="120" w:type="dxa"/>
            </w:tcMar>
            <w:vAlign w:val="center"/>
          </w:tcPr>
          <w:p w14:paraId="3A03227A" w14:textId="77777777" w:rsidR="003A60B2" w:rsidRDefault="00000000">
            <w:pPr>
              <w:spacing w:after="20"/>
            </w:pPr>
            <w:r>
              <w:rPr>
                <w:sz w:val="17"/>
              </w:rPr>
              <w:t>RBAC or access policies, public-network restrictions or private endpoint configuration, purge protection/retention decisions, and audit diagnostics.</w:t>
            </w:r>
          </w:p>
        </w:tc>
      </w:tr>
      <w:tr w:rsidR="003A60B2" w14:paraId="6D071310" w14:textId="77777777">
        <w:trPr>
          <w:jc w:val="center"/>
        </w:trPr>
        <w:tc>
          <w:tcPr>
            <w:tcW w:w="1800" w:type="dxa"/>
            <w:shd w:val="clear" w:color="auto" w:fill="F5F8FC"/>
            <w:tcMar>
              <w:top w:w="120" w:type="dxa"/>
              <w:left w:w="120" w:type="dxa"/>
              <w:bottom w:w="120" w:type="dxa"/>
              <w:right w:w="120" w:type="dxa"/>
            </w:tcMar>
            <w:vAlign w:val="center"/>
          </w:tcPr>
          <w:p w14:paraId="4F909BF8" w14:textId="77777777" w:rsidR="003A60B2" w:rsidRDefault="00000000">
            <w:pPr>
              <w:spacing w:after="20"/>
            </w:pPr>
            <w:r>
              <w:rPr>
                <w:sz w:val="17"/>
              </w:rPr>
              <w:t>Cosmos DB</w:t>
            </w:r>
          </w:p>
        </w:tc>
        <w:tc>
          <w:tcPr>
            <w:tcW w:w="3240" w:type="dxa"/>
            <w:shd w:val="clear" w:color="auto" w:fill="F5F8FC"/>
            <w:tcMar>
              <w:top w:w="120" w:type="dxa"/>
              <w:left w:w="120" w:type="dxa"/>
              <w:bottom w:w="120" w:type="dxa"/>
              <w:right w:w="120" w:type="dxa"/>
            </w:tcMar>
            <w:vAlign w:val="center"/>
          </w:tcPr>
          <w:p w14:paraId="79BC667C" w14:textId="77777777" w:rsidR="003A60B2" w:rsidRDefault="00000000">
            <w:pPr>
              <w:spacing w:after="20"/>
            </w:pPr>
            <w:r>
              <w:rPr>
                <w:sz w:val="17"/>
              </w:rPr>
              <w:t>Database account is created in one region.</w:t>
            </w:r>
          </w:p>
        </w:tc>
        <w:tc>
          <w:tcPr>
            <w:tcW w:w="4536" w:type="dxa"/>
            <w:shd w:val="clear" w:color="auto" w:fill="F5F8FC"/>
            <w:tcMar>
              <w:top w:w="120" w:type="dxa"/>
              <w:left w:w="120" w:type="dxa"/>
              <w:bottom w:w="120" w:type="dxa"/>
              <w:right w:w="120" w:type="dxa"/>
            </w:tcMar>
            <w:vAlign w:val="center"/>
          </w:tcPr>
          <w:p w14:paraId="4BB4AABE" w14:textId="77777777" w:rsidR="003A60B2" w:rsidRDefault="00000000">
            <w:pPr>
              <w:spacing w:after="20"/>
            </w:pPr>
            <w:r>
              <w:rPr>
                <w:sz w:val="17"/>
              </w:rPr>
              <w:t>Database and containers, partitioning, consistency choice, backup/retention decisions, private access, authorization, and diagnostic settings.</w:t>
            </w:r>
          </w:p>
        </w:tc>
      </w:tr>
      <w:tr w:rsidR="003A60B2" w14:paraId="7C19E50C" w14:textId="77777777">
        <w:trPr>
          <w:jc w:val="center"/>
        </w:trPr>
        <w:tc>
          <w:tcPr>
            <w:tcW w:w="1800" w:type="dxa"/>
            <w:shd w:val="clear" w:color="auto" w:fill="FFFFFF"/>
            <w:tcMar>
              <w:top w:w="120" w:type="dxa"/>
              <w:left w:w="120" w:type="dxa"/>
              <w:bottom w:w="120" w:type="dxa"/>
              <w:right w:w="120" w:type="dxa"/>
            </w:tcMar>
            <w:vAlign w:val="center"/>
          </w:tcPr>
          <w:p w14:paraId="43733710" w14:textId="77777777" w:rsidR="003A60B2" w:rsidRDefault="00000000">
            <w:pPr>
              <w:spacing w:after="20"/>
            </w:pPr>
            <w:r>
              <w:rPr>
                <w:sz w:val="17"/>
              </w:rPr>
              <w:t>Azure OpenAI</w:t>
            </w:r>
          </w:p>
        </w:tc>
        <w:tc>
          <w:tcPr>
            <w:tcW w:w="3240" w:type="dxa"/>
            <w:shd w:val="clear" w:color="auto" w:fill="FFFFFF"/>
            <w:tcMar>
              <w:top w:w="120" w:type="dxa"/>
              <w:left w:w="120" w:type="dxa"/>
              <w:bottom w:w="120" w:type="dxa"/>
              <w:right w:w="120" w:type="dxa"/>
            </w:tcMar>
            <w:vAlign w:val="center"/>
          </w:tcPr>
          <w:p w14:paraId="36142A2B" w14:textId="77777777" w:rsidR="003A60B2" w:rsidRDefault="00000000">
            <w:pPr>
              <w:spacing w:after="20"/>
            </w:pPr>
            <w:r>
              <w:rPr>
                <w:sz w:val="17"/>
              </w:rPr>
              <w:t>Account is created and publicNetworkAccess is disabled.</w:t>
            </w:r>
          </w:p>
        </w:tc>
        <w:tc>
          <w:tcPr>
            <w:tcW w:w="4536" w:type="dxa"/>
            <w:shd w:val="clear" w:color="auto" w:fill="FFFFFF"/>
            <w:tcMar>
              <w:top w:w="120" w:type="dxa"/>
              <w:left w:w="120" w:type="dxa"/>
              <w:bottom w:w="120" w:type="dxa"/>
              <w:right w:w="120" w:type="dxa"/>
            </w:tcMar>
            <w:vAlign w:val="center"/>
          </w:tcPr>
          <w:p w14:paraId="3EA286CB" w14:textId="77777777" w:rsidR="003A60B2" w:rsidRDefault="00000000">
            <w:pPr>
              <w:spacing w:after="20"/>
            </w:pPr>
            <w:r>
              <w:rPr>
                <w:sz w:val="17"/>
              </w:rPr>
              <w:t>Private endpoint and DNS, model deployment, managed identity/RBAC, content filtering decisions, quotas, logging, and application connectivity.</w:t>
            </w:r>
          </w:p>
        </w:tc>
      </w:tr>
      <w:tr w:rsidR="003A60B2" w14:paraId="2A625093" w14:textId="77777777">
        <w:trPr>
          <w:jc w:val="center"/>
        </w:trPr>
        <w:tc>
          <w:tcPr>
            <w:tcW w:w="1800" w:type="dxa"/>
            <w:shd w:val="clear" w:color="auto" w:fill="F5F8FC"/>
            <w:tcMar>
              <w:top w:w="120" w:type="dxa"/>
              <w:left w:w="120" w:type="dxa"/>
              <w:bottom w:w="120" w:type="dxa"/>
              <w:right w:w="120" w:type="dxa"/>
            </w:tcMar>
            <w:vAlign w:val="center"/>
          </w:tcPr>
          <w:p w14:paraId="0874EC42" w14:textId="77777777" w:rsidR="003A60B2" w:rsidRDefault="00000000">
            <w:pPr>
              <w:spacing w:after="20"/>
            </w:pPr>
            <w:r>
              <w:rPr>
                <w:sz w:val="17"/>
              </w:rPr>
              <w:t>Operations</w:t>
            </w:r>
          </w:p>
        </w:tc>
        <w:tc>
          <w:tcPr>
            <w:tcW w:w="3240" w:type="dxa"/>
            <w:shd w:val="clear" w:color="auto" w:fill="F5F8FC"/>
            <w:tcMar>
              <w:top w:w="120" w:type="dxa"/>
              <w:left w:w="120" w:type="dxa"/>
              <w:bottom w:w="120" w:type="dxa"/>
              <w:right w:w="120" w:type="dxa"/>
            </w:tcMar>
            <w:vAlign w:val="center"/>
          </w:tcPr>
          <w:p w14:paraId="08984CDD" w14:textId="77777777" w:rsidR="003A60B2" w:rsidRDefault="00000000">
            <w:pPr>
              <w:spacing w:after="20"/>
            </w:pPr>
            <w:r>
              <w:rPr>
                <w:sz w:val="17"/>
              </w:rPr>
              <w:t>Resources have consistent names and location.</w:t>
            </w:r>
          </w:p>
        </w:tc>
        <w:tc>
          <w:tcPr>
            <w:tcW w:w="4536" w:type="dxa"/>
            <w:shd w:val="clear" w:color="auto" w:fill="F5F8FC"/>
            <w:tcMar>
              <w:top w:w="120" w:type="dxa"/>
              <w:left w:w="120" w:type="dxa"/>
              <w:bottom w:w="120" w:type="dxa"/>
              <w:right w:w="120" w:type="dxa"/>
            </w:tcMar>
            <w:vAlign w:val="center"/>
          </w:tcPr>
          <w:p w14:paraId="55C96631" w14:textId="77777777" w:rsidR="003A60B2" w:rsidRDefault="00000000">
            <w:pPr>
              <w:spacing w:after="20"/>
            </w:pPr>
            <w:r>
              <w:rPr>
                <w:sz w:val="17"/>
              </w:rPr>
              <w:t>Tags, budgets, alerts, Log Analytics/Application Insights, policy assignments, locks, disaster-recovery choices, and deployment outputs.</w:t>
            </w:r>
          </w:p>
        </w:tc>
      </w:tr>
      <w:tr w:rsidR="003A60B2" w14:paraId="42A360FB" w14:textId="77777777">
        <w:trPr>
          <w:jc w:val="center"/>
        </w:trPr>
        <w:tc>
          <w:tcPr>
            <w:tcW w:w="1800" w:type="dxa"/>
            <w:shd w:val="clear" w:color="auto" w:fill="FFFFFF"/>
            <w:tcMar>
              <w:top w:w="120" w:type="dxa"/>
              <w:left w:w="120" w:type="dxa"/>
              <w:bottom w:w="120" w:type="dxa"/>
              <w:right w:w="120" w:type="dxa"/>
            </w:tcMar>
            <w:vAlign w:val="center"/>
          </w:tcPr>
          <w:p w14:paraId="18B9EB06" w14:textId="77777777" w:rsidR="003A60B2" w:rsidRDefault="00000000">
            <w:pPr>
              <w:spacing w:after="20"/>
            </w:pPr>
            <w:r>
              <w:rPr>
                <w:sz w:val="17"/>
              </w:rPr>
              <w:t>Governance</w:t>
            </w:r>
          </w:p>
        </w:tc>
        <w:tc>
          <w:tcPr>
            <w:tcW w:w="3240" w:type="dxa"/>
            <w:shd w:val="clear" w:color="auto" w:fill="FFFFFF"/>
            <w:tcMar>
              <w:top w:w="120" w:type="dxa"/>
              <w:left w:w="120" w:type="dxa"/>
              <w:bottom w:w="120" w:type="dxa"/>
              <w:right w:w="120" w:type="dxa"/>
            </w:tcMar>
            <w:vAlign w:val="center"/>
          </w:tcPr>
          <w:p w14:paraId="2F7A13EE" w14:textId="77777777" w:rsidR="003A60B2" w:rsidRDefault="00000000">
            <w:pPr>
              <w:spacing w:after="20"/>
            </w:pPr>
            <w:r>
              <w:rPr>
                <w:sz w:val="17"/>
              </w:rPr>
              <w:t>Infrastructure is declarative.</w:t>
            </w:r>
          </w:p>
        </w:tc>
        <w:tc>
          <w:tcPr>
            <w:tcW w:w="4536" w:type="dxa"/>
            <w:shd w:val="clear" w:color="auto" w:fill="FFFFFF"/>
            <w:tcMar>
              <w:top w:w="120" w:type="dxa"/>
              <w:left w:w="120" w:type="dxa"/>
              <w:bottom w:w="120" w:type="dxa"/>
              <w:right w:w="120" w:type="dxa"/>
            </w:tcMar>
            <w:vAlign w:val="center"/>
          </w:tcPr>
          <w:p w14:paraId="795B67A0" w14:textId="77777777" w:rsidR="003A60B2" w:rsidRDefault="00000000">
            <w:pPr>
              <w:spacing w:after="20"/>
            </w:pPr>
            <w:r>
              <w:rPr>
                <w:sz w:val="17"/>
              </w:rPr>
              <w:t>Environment separation, parameter validation, CI/CD approvals, security testing, evidence retention, and documented operating responsibility.</w:t>
            </w:r>
          </w:p>
        </w:tc>
      </w:tr>
    </w:tbl>
    <w:p w14:paraId="10CC60C4" w14:textId="77777777" w:rsidR="003A60B2" w:rsidRDefault="003A60B2">
      <w:pPr>
        <w:spacing w:after="20"/>
      </w:pPr>
    </w:p>
    <w:p w14:paraId="0BA9020B" w14:textId="77777777" w:rsidR="003A60B2" w:rsidRDefault="00000000">
      <w:pPr>
        <w:pStyle w:val="Heading1"/>
      </w:pPr>
      <w:r>
        <w:t>Recommended Build-Out Order</w:t>
      </w:r>
    </w:p>
    <w:tbl>
      <w:tblPr>
        <w:tblStyle w:val="TableGrid"/>
        <w:tblW w:w="0" w:type="auto"/>
        <w:jc w:val="center"/>
        <w:tblLayout w:type="fixed"/>
        <w:tblLook w:val="04A0" w:firstRow="1" w:lastRow="0" w:firstColumn="1" w:lastColumn="0" w:noHBand="0" w:noVBand="1"/>
      </w:tblPr>
      <w:tblGrid>
        <w:gridCol w:w="1728"/>
        <w:gridCol w:w="4752"/>
        <w:gridCol w:w="3096"/>
      </w:tblGrid>
      <w:tr w:rsidR="003A60B2" w14:paraId="6A78A736" w14:textId="77777777">
        <w:trPr>
          <w:jc w:val="center"/>
        </w:trPr>
        <w:tc>
          <w:tcPr>
            <w:tcW w:w="1728" w:type="dxa"/>
            <w:shd w:val="clear" w:color="auto" w:fill="12233F"/>
            <w:tcMar>
              <w:top w:w="120" w:type="dxa"/>
              <w:left w:w="120" w:type="dxa"/>
              <w:bottom w:w="120" w:type="dxa"/>
              <w:right w:w="120" w:type="dxa"/>
            </w:tcMar>
          </w:tcPr>
          <w:p w14:paraId="6DC0145E" w14:textId="77777777" w:rsidR="003A60B2" w:rsidRDefault="00000000">
            <w:pPr>
              <w:jc w:val="center"/>
            </w:pPr>
            <w:r>
              <w:rPr>
                <w:b/>
                <w:color w:val="FFFFFF"/>
                <w:sz w:val="17"/>
              </w:rPr>
              <w:t>Phase</w:t>
            </w:r>
          </w:p>
        </w:tc>
        <w:tc>
          <w:tcPr>
            <w:tcW w:w="4752" w:type="dxa"/>
            <w:shd w:val="clear" w:color="auto" w:fill="12233F"/>
            <w:tcMar>
              <w:top w:w="120" w:type="dxa"/>
              <w:left w:w="120" w:type="dxa"/>
              <w:bottom w:w="120" w:type="dxa"/>
              <w:right w:w="120" w:type="dxa"/>
            </w:tcMar>
          </w:tcPr>
          <w:p w14:paraId="7CDA5913" w14:textId="77777777" w:rsidR="003A60B2" w:rsidRDefault="00000000">
            <w:pPr>
              <w:jc w:val="center"/>
            </w:pPr>
            <w:r>
              <w:rPr>
                <w:b/>
                <w:color w:val="FFFFFF"/>
                <w:sz w:val="17"/>
              </w:rPr>
              <w:t>Implementation Focus</w:t>
            </w:r>
          </w:p>
        </w:tc>
        <w:tc>
          <w:tcPr>
            <w:tcW w:w="3096" w:type="dxa"/>
            <w:shd w:val="clear" w:color="auto" w:fill="12233F"/>
            <w:tcMar>
              <w:top w:w="120" w:type="dxa"/>
              <w:left w:w="120" w:type="dxa"/>
              <w:bottom w:w="120" w:type="dxa"/>
              <w:right w:w="120" w:type="dxa"/>
            </w:tcMar>
          </w:tcPr>
          <w:p w14:paraId="5F9822B7" w14:textId="77777777" w:rsidR="003A60B2" w:rsidRDefault="00000000">
            <w:pPr>
              <w:jc w:val="center"/>
            </w:pPr>
            <w:r>
              <w:rPr>
                <w:b/>
                <w:color w:val="FFFFFF"/>
                <w:sz w:val="17"/>
              </w:rPr>
              <w:t>Exit Condition</w:t>
            </w:r>
          </w:p>
        </w:tc>
      </w:tr>
      <w:tr w:rsidR="003A60B2" w14:paraId="5A5D9597" w14:textId="77777777">
        <w:trPr>
          <w:jc w:val="center"/>
        </w:trPr>
        <w:tc>
          <w:tcPr>
            <w:tcW w:w="1728" w:type="dxa"/>
            <w:shd w:val="clear" w:color="auto" w:fill="F5F8FC"/>
            <w:tcMar>
              <w:top w:w="120" w:type="dxa"/>
              <w:left w:w="120" w:type="dxa"/>
              <w:bottom w:w="120" w:type="dxa"/>
              <w:right w:w="120" w:type="dxa"/>
            </w:tcMar>
            <w:vAlign w:val="center"/>
          </w:tcPr>
          <w:p w14:paraId="31B3AF90" w14:textId="77777777" w:rsidR="003A60B2" w:rsidRDefault="00000000">
            <w:pPr>
              <w:spacing w:after="20"/>
            </w:pPr>
            <w:r>
              <w:rPr>
                <w:sz w:val="17"/>
              </w:rPr>
              <w:t>1. Foundation</w:t>
            </w:r>
          </w:p>
        </w:tc>
        <w:tc>
          <w:tcPr>
            <w:tcW w:w="4752" w:type="dxa"/>
            <w:shd w:val="clear" w:color="auto" w:fill="F5F8FC"/>
            <w:tcMar>
              <w:top w:w="120" w:type="dxa"/>
              <w:left w:w="120" w:type="dxa"/>
              <w:bottom w:w="120" w:type="dxa"/>
              <w:right w:w="120" w:type="dxa"/>
            </w:tcMar>
            <w:vAlign w:val="center"/>
          </w:tcPr>
          <w:p w14:paraId="55630532" w14:textId="77777777" w:rsidR="003A60B2" w:rsidRDefault="00000000">
            <w:pPr>
              <w:spacing w:after="20"/>
            </w:pPr>
            <w:r>
              <w:rPr>
                <w:sz w:val="17"/>
              </w:rPr>
              <w:t>Parameters, naming, tags, VNet, subnet plan, resource locks, and policy baseline.</w:t>
            </w:r>
          </w:p>
        </w:tc>
        <w:tc>
          <w:tcPr>
            <w:tcW w:w="3096" w:type="dxa"/>
            <w:shd w:val="clear" w:color="auto" w:fill="F5F8FC"/>
            <w:tcMar>
              <w:top w:w="120" w:type="dxa"/>
              <w:left w:w="120" w:type="dxa"/>
              <w:bottom w:w="120" w:type="dxa"/>
              <w:right w:w="120" w:type="dxa"/>
            </w:tcMar>
            <w:vAlign w:val="center"/>
          </w:tcPr>
          <w:p w14:paraId="52CB3FDB" w14:textId="77777777" w:rsidR="003A60B2" w:rsidRDefault="00000000">
            <w:pPr>
              <w:spacing w:after="20"/>
            </w:pPr>
            <w:r>
              <w:rPr>
                <w:sz w:val="17"/>
              </w:rPr>
              <w:t>Resources deploy predictably into the intended environment with ownership and policy metadata.</w:t>
            </w:r>
          </w:p>
        </w:tc>
      </w:tr>
      <w:tr w:rsidR="003A60B2" w14:paraId="17115D66" w14:textId="77777777">
        <w:trPr>
          <w:jc w:val="center"/>
        </w:trPr>
        <w:tc>
          <w:tcPr>
            <w:tcW w:w="1728" w:type="dxa"/>
            <w:shd w:val="clear" w:color="auto" w:fill="FFFFFF"/>
            <w:tcMar>
              <w:top w:w="120" w:type="dxa"/>
              <w:left w:w="120" w:type="dxa"/>
              <w:bottom w:w="120" w:type="dxa"/>
              <w:right w:w="120" w:type="dxa"/>
            </w:tcMar>
            <w:vAlign w:val="center"/>
          </w:tcPr>
          <w:p w14:paraId="5340A44F" w14:textId="77777777" w:rsidR="003A60B2" w:rsidRDefault="00000000">
            <w:pPr>
              <w:spacing w:after="20"/>
            </w:pPr>
            <w:r>
              <w:rPr>
                <w:sz w:val="17"/>
              </w:rPr>
              <w:t>2. Private Access</w:t>
            </w:r>
          </w:p>
        </w:tc>
        <w:tc>
          <w:tcPr>
            <w:tcW w:w="4752" w:type="dxa"/>
            <w:shd w:val="clear" w:color="auto" w:fill="FFFFFF"/>
            <w:tcMar>
              <w:top w:w="120" w:type="dxa"/>
              <w:left w:w="120" w:type="dxa"/>
              <w:bottom w:w="120" w:type="dxa"/>
              <w:right w:w="120" w:type="dxa"/>
            </w:tcMar>
            <w:vAlign w:val="center"/>
          </w:tcPr>
          <w:p w14:paraId="71EC5E76" w14:textId="77777777" w:rsidR="003A60B2" w:rsidRDefault="00000000">
            <w:pPr>
              <w:spacing w:after="20"/>
            </w:pPr>
            <w:r>
              <w:rPr>
                <w:sz w:val="17"/>
              </w:rPr>
              <w:t>Private endpoints and DNS for Key Vault, Cosmos DB, and Azure OpenAI; restrict public access where required.</w:t>
            </w:r>
          </w:p>
        </w:tc>
        <w:tc>
          <w:tcPr>
            <w:tcW w:w="3096" w:type="dxa"/>
            <w:shd w:val="clear" w:color="auto" w:fill="FFFFFF"/>
            <w:tcMar>
              <w:top w:w="120" w:type="dxa"/>
              <w:left w:w="120" w:type="dxa"/>
              <w:bottom w:w="120" w:type="dxa"/>
              <w:right w:w="120" w:type="dxa"/>
            </w:tcMar>
            <w:vAlign w:val="center"/>
          </w:tcPr>
          <w:p w14:paraId="13F0C710" w14:textId="77777777" w:rsidR="003A60B2" w:rsidRDefault="00000000">
            <w:pPr>
              <w:spacing w:after="20"/>
            </w:pPr>
            <w:r>
              <w:rPr>
                <w:sz w:val="17"/>
              </w:rPr>
              <w:t>Approved workloads resolve and reach services privately; unintended network paths are blocked.</w:t>
            </w:r>
          </w:p>
        </w:tc>
      </w:tr>
      <w:tr w:rsidR="003A60B2" w14:paraId="31538F2A" w14:textId="77777777">
        <w:trPr>
          <w:jc w:val="center"/>
        </w:trPr>
        <w:tc>
          <w:tcPr>
            <w:tcW w:w="1728" w:type="dxa"/>
            <w:shd w:val="clear" w:color="auto" w:fill="F5F8FC"/>
            <w:tcMar>
              <w:top w:w="120" w:type="dxa"/>
              <w:left w:w="120" w:type="dxa"/>
              <w:bottom w:w="120" w:type="dxa"/>
              <w:right w:w="120" w:type="dxa"/>
            </w:tcMar>
            <w:vAlign w:val="center"/>
          </w:tcPr>
          <w:p w14:paraId="1038C875" w14:textId="77777777" w:rsidR="003A60B2" w:rsidRDefault="00000000">
            <w:pPr>
              <w:spacing w:after="20"/>
            </w:pPr>
            <w:r>
              <w:rPr>
                <w:sz w:val="17"/>
              </w:rPr>
              <w:t>3. Identity</w:t>
            </w:r>
          </w:p>
        </w:tc>
        <w:tc>
          <w:tcPr>
            <w:tcW w:w="4752" w:type="dxa"/>
            <w:shd w:val="clear" w:color="auto" w:fill="F5F8FC"/>
            <w:tcMar>
              <w:top w:w="120" w:type="dxa"/>
              <w:left w:w="120" w:type="dxa"/>
              <w:bottom w:w="120" w:type="dxa"/>
              <w:right w:w="120" w:type="dxa"/>
            </w:tcMar>
            <w:vAlign w:val="center"/>
          </w:tcPr>
          <w:p w14:paraId="6D6EDF08" w14:textId="77777777" w:rsidR="003A60B2" w:rsidRDefault="00000000">
            <w:pPr>
              <w:spacing w:after="20"/>
            </w:pPr>
            <w:r>
              <w:rPr>
                <w:sz w:val="17"/>
              </w:rPr>
              <w:t>Managed identities and least-privilege RBAC for applications, deployment automation, and reviewers.</w:t>
            </w:r>
          </w:p>
        </w:tc>
        <w:tc>
          <w:tcPr>
            <w:tcW w:w="3096" w:type="dxa"/>
            <w:shd w:val="clear" w:color="auto" w:fill="F5F8FC"/>
            <w:tcMar>
              <w:top w:w="120" w:type="dxa"/>
              <w:left w:w="120" w:type="dxa"/>
              <w:bottom w:w="120" w:type="dxa"/>
              <w:right w:w="120" w:type="dxa"/>
            </w:tcMar>
            <w:vAlign w:val="center"/>
          </w:tcPr>
          <w:p w14:paraId="516F2E64" w14:textId="77777777" w:rsidR="003A60B2" w:rsidRDefault="00000000">
            <w:pPr>
              <w:spacing w:after="20"/>
            </w:pPr>
            <w:r>
              <w:rPr>
                <w:sz w:val="17"/>
              </w:rPr>
              <w:t>No application secret is embedded in code; access is attributable and testable.</w:t>
            </w:r>
          </w:p>
        </w:tc>
      </w:tr>
      <w:tr w:rsidR="003A60B2" w14:paraId="2EF3916F" w14:textId="77777777">
        <w:trPr>
          <w:jc w:val="center"/>
        </w:trPr>
        <w:tc>
          <w:tcPr>
            <w:tcW w:w="1728" w:type="dxa"/>
            <w:shd w:val="clear" w:color="auto" w:fill="FFFFFF"/>
            <w:tcMar>
              <w:top w:w="120" w:type="dxa"/>
              <w:left w:w="120" w:type="dxa"/>
              <w:bottom w:w="120" w:type="dxa"/>
              <w:right w:w="120" w:type="dxa"/>
            </w:tcMar>
            <w:vAlign w:val="center"/>
          </w:tcPr>
          <w:p w14:paraId="6DA81A1E" w14:textId="77777777" w:rsidR="003A60B2" w:rsidRDefault="00000000">
            <w:pPr>
              <w:spacing w:after="20"/>
            </w:pPr>
            <w:r>
              <w:rPr>
                <w:sz w:val="17"/>
              </w:rPr>
              <w:t>4. Data and Models</w:t>
            </w:r>
          </w:p>
        </w:tc>
        <w:tc>
          <w:tcPr>
            <w:tcW w:w="4752" w:type="dxa"/>
            <w:shd w:val="clear" w:color="auto" w:fill="FFFFFF"/>
            <w:tcMar>
              <w:top w:w="120" w:type="dxa"/>
              <w:left w:w="120" w:type="dxa"/>
              <w:bottom w:w="120" w:type="dxa"/>
              <w:right w:w="120" w:type="dxa"/>
            </w:tcMar>
            <w:vAlign w:val="center"/>
          </w:tcPr>
          <w:p w14:paraId="64FEE543" w14:textId="77777777" w:rsidR="003A60B2" w:rsidRDefault="00000000">
            <w:pPr>
              <w:spacing w:after="20"/>
            </w:pPr>
            <w:r>
              <w:rPr>
                <w:sz w:val="17"/>
              </w:rPr>
              <w:t>Cosmos database/containers, partition strategy, OpenAI model deployments, content controls, and quotas.</w:t>
            </w:r>
          </w:p>
        </w:tc>
        <w:tc>
          <w:tcPr>
            <w:tcW w:w="3096" w:type="dxa"/>
            <w:shd w:val="clear" w:color="auto" w:fill="FFFFFF"/>
            <w:tcMar>
              <w:top w:w="120" w:type="dxa"/>
              <w:left w:w="120" w:type="dxa"/>
              <w:bottom w:w="120" w:type="dxa"/>
              <w:right w:w="120" w:type="dxa"/>
            </w:tcMar>
            <w:vAlign w:val="center"/>
          </w:tcPr>
          <w:p w14:paraId="21AE18A1" w14:textId="77777777" w:rsidR="003A60B2" w:rsidRDefault="00000000">
            <w:pPr>
              <w:spacing w:after="20"/>
            </w:pPr>
            <w:r>
              <w:rPr>
                <w:sz w:val="17"/>
              </w:rPr>
              <w:t>The processing application can store governed records and call an approved model deployment.</w:t>
            </w:r>
          </w:p>
        </w:tc>
      </w:tr>
      <w:tr w:rsidR="003A60B2" w14:paraId="78B75E49" w14:textId="77777777">
        <w:trPr>
          <w:jc w:val="center"/>
        </w:trPr>
        <w:tc>
          <w:tcPr>
            <w:tcW w:w="1728" w:type="dxa"/>
            <w:shd w:val="clear" w:color="auto" w:fill="F5F8FC"/>
            <w:tcMar>
              <w:top w:w="120" w:type="dxa"/>
              <w:left w:w="120" w:type="dxa"/>
              <w:bottom w:w="120" w:type="dxa"/>
              <w:right w:w="120" w:type="dxa"/>
            </w:tcMar>
            <w:vAlign w:val="center"/>
          </w:tcPr>
          <w:p w14:paraId="511F2AF6" w14:textId="77777777" w:rsidR="003A60B2" w:rsidRDefault="00000000">
            <w:pPr>
              <w:spacing w:after="20"/>
            </w:pPr>
            <w:r>
              <w:rPr>
                <w:sz w:val="17"/>
              </w:rPr>
              <w:t>5. Observability</w:t>
            </w:r>
          </w:p>
        </w:tc>
        <w:tc>
          <w:tcPr>
            <w:tcW w:w="4752" w:type="dxa"/>
            <w:shd w:val="clear" w:color="auto" w:fill="F5F8FC"/>
            <w:tcMar>
              <w:top w:w="120" w:type="dxa"/>
              <w:left w:w="120" w:type="dxa"/>
              <w:bottom w:w="120" w:type="dxa"/>
              <w:right w:w="120" w:type="dxa"/>
            </w:tcMar>
            <w:vAlign w:val="center"/>
          </w:tcPr>
          <w:p w14:paraId="33BFFED4" w14:textId="77777777" w:rsidR="003A60B2" w:rsidRDefault="00000000">
            <w:pPr>
              <w:spacing w:after="20"/>
            </w:pPr>
            <w:r>
              <w:rPr>
                <w:sz w:val="17"/>
              </w:rPr>
              <w:t>Diagnostic settings, Log Analytics, alerts, audit events, and operational dashboards.</w:t>
            </w:r>
          </w:p>
        </w:tc>
        <w:tc>
          <w:tcPr>
            <w:tcW w:w="3096" w:type="dxa"/>
            <w:shd w:val="clear" w:color="auto" w:fill="F5F8FC"/>
            <w:tcMar>
              <w:top w:w="120" w:type="dxa"/>
              <w:left w:w="120" w:type="dxa"/>
              <w:bottom w:w="120" w:type="dxa"/>
              <w:right w:w="120" w:type="dxa"/>
            </w:tcMar>
            <w:vAlign w:val="center"/>
          </w:tcPr>
          <w:p w14:paraId="679FCE39" w14:textId="77777777" w:rsidR="003A60B2" w:rsidRDefault="00000000">
            <w:pPr>
              <w:spacing w:after="20"/>
            </w:pPr>
            <w:r>
              <w:rPr>
                <w:sz w:val="17"/>
              </w:rPr>
              <w:t>Access, failures, latency, policy events, and deployment changes are observable.</w:t>
            </w:r>
          </w:p>
        </w:tc>
      </w:tr>
      <w:tr w:rsidR="003A60B2" w14:paraId="65F123E5" w14:textId="77777777">
        <w:trPr>
          <w:jc w:val="center"/>
        </w:trPr>
        <w:tc>
          <w:tcPr>
            <w:tcW w:w="1728" w:type="dxa"/>
            <w:shd w:val="clear" w:color="auto" w:fill="FFFFFF"/>
            <w:tcMar>
              <w:top w:w="120" w:type="dxa"/>
              <w:left w:w="120" w:type="dxa"/>
              <w:bottom w:w="120" w:type="dxa"/>
              <w:right w:w="120" w:type="dxa"/>
            </w:tcMar>
            <w:vAlign w:val="center"/>
          </w:tcPr>
          <w:p w14:paraId="2DA900D8" w14:textId="77777777" w:rsidR="003A60B2" w:rsidRDefault="00000000">
            <w:pPr>
              <w:spacing w:after="20"/>
            </w:pPr>
            <w:r>
              <w:rPr>
                <w:sz w:val="17"/>
              </w:rPr>
              <w:t>6. Assurance</w:t>
            </w:r>
          </w:p>
        </w:tc>
        <w:tc>
          <w:tcPr>
            <w:tcW w:w="4752" w:type="dxa"/>
            <w:shd w:val="clear" w:color="auto" w:fill="FFFFFF"/>
            <w:tcMar>
              <w:top w:w="120" w:type="dxa"/>
              <w:left w:w="120" w:type="dxa"/>
              <w:bottom w:w="120" w:type="dxa"/>
              <w:right w:w="120" w:type="dxa"/>
            </w:tcMar>
            <w:vAlign w:val="center"/>
          </w:tcPr>
          <w:p w14:paraId="47922EB8" w14:textId="77777777" w:rsidR="003A60B2" w:rsidRDefault="00000000">
            <w:pPr>
              <w:spacing w:after="20"/>
            </w:pPr>
            <w:r>
              <w:rPr>
                <w:sz w:val="17"/>
              </w:rPr>
              <w:t>Threat modeling, deployment tests, access reviews, recovery tests, retention validation, and documentation.</w:t>
            </w:r>
          </w:p>
        </w:tc>
        <w:tc>
          <w:tcPr>
            <w:tcW w:w="3096" w:type="dxa"/>
            <w:shd w:val="clear" w:color="auto" w:fill="FFFFFF"/>
            <w:tcMar>
              <w:top w:w="120" w:type="dxa"/>
              <w:left w:w="120" w:type="dxa"/>
              <w:bottom w:w="120" w:type="dxa"/>
              <w:right w:w="120" w:type="dxa"/>
            </w:tcMar>
            <w:vAlign w:val="center"/>
          </w:tcPr>
          <w:p w14:paraId="4E1710ED" w14:textId="77777777" w:rsidR="003A60B2" w:rsidRDefault="00000000">
            <w:pPr>
              <w:spacing w:after="20"/>
            </w:pPr>
            <w:r>
              <w:rPr>
                <w:sz w:val="17"/>
              </w:rPr>
              <w:t>The architecture has evidence-backed security and operating claims suitable for pilots.</w:t>
            </w:r>
          </w:p>
        </w:tc>
      </w:tr>
    </w:tbl>
    <w:p w14:paraId="6EFAF330" w14:textId="77777777" w:rsidR="003A60B2" w:rsidRDefault="003A60B2">
      <w:pPr>
        <w:spacing w:after="20"/>
      </w:pPr>
    </w:p>
    <w:tbl>
      <w:tblPr>
        <w:tblW w:w="0" w:type="auto"/>
        <w:jc w:val="center"/>
        <w:tblLayout w:type="fixed"/>
        <w:tblLook w:val="04A0" w:firstRow="1" w:lastRow="0" w:firstColumn="1" w:lastColumn="0" w:noHBand="0" w:noVBand="1"/>
      </w:tblPr>
      <w:tblGrid>
        <w:gridCol w:w="259"/>
        <w:gridCol w:w="9432"/>
      </w:tblGrid>
      <w:tr w:rsidR="003A60B2" w14:paraId="0D3F20A0" w14:textId="77777777">
        <w:trPr>
          <w:jc w:val="center"/>
        </w:trPr>
        <w:tc>
          <w:tcPr>
            <w:tcW w:w="259" w:type="dxa"/>
            <w:shd w:val="clear" w:color="auto" w:fill="238636"/>
          </w:tcPr>
          <w:p w14:paraId="2C5060F7" w14:textId="77777777" w:rsidR="003A60B2" w:rsidRDefault="003A60B2"/>
        </w:tc>
        <w:tc>
          <w:tcPr>
            <w:tcW w:w="9432" w:type="dxa"/>
            <w:shd w:val="clear" w:color="auto" w:fill="EAF6EC"/>
            <w:tcMar>
              <w:top w:w="150" w:type="dxa"/>
              <w:left w:w="150" w:type="dxa"/>
              <w:bottom w:w="150" w:type="dxa"/>
              <w:right w:w="150" w:type="dxa"/>
            </w:tcMar>
          </w:tcPr>
          <w:p w14:paraId="22A4A632" w14:textId="77777777" w:rsidR="003A60B2" w:rsidRDefault="00000000">
            <w:r>
              <w:rPr>
                <w:b/>
                <w:color w:val="12233F"/>
                <w:sz w:val="21"/>
              </w:rPr>
              <w:t>BOTTOM LINE</w:t>
            </w:r>
          </w:p>
          <w:p w14:paraId="21888410" w14:textId="77777777" w:rsidR="003A60B2" w:rsidRDefault="00000000">
            <w:pPr>
              <w:spacing w:after="40" w:line="259" w:lineRule="auto"/>
            </w:pPr>
            <w:r>
              <w:t>The supplied Bicep establishes the beginning of a secure Azure landing pattern for Legal Firewall. Its strongest current controls are repeatable infrastructure definition and disabled public access on the Azure OpenAI account. The full private, least-privilege, auditable architecture depends on the next layer of endpoints, DNS, identities, service configuration, monitoring, and governance.</w:t>
            </w:r>
          </w:p>
        </w:tc>
      </w:tr>
    </w:tbl>
    <w:p w14:paraId="49D34030" w14:textId="77777777" w:rsidR="003A60B2" w:rsidRDefault="003A60B2">
      <w:pPr>
        <w:spacing w:after="20"/>
      </w:pPr>
    </w:p>
    <w:p w14:paraId="485255C4" w14:textId="77777777" w:rsidR="003A60B2" w:rsidRDefault="00000000">
      <w:pPr>
        <w:pStyle w:val="Heading1"/>
      </w:pPr>
      <w:r>
        <w:t>Source Notes</w:t>
      </w:r>
    </w:p>
    <w:p w14:paraId="19B1225D" w14:textId="77777777" w:rsidR="003A60B2" w:rsidRDefault="00000000">
      <w:pPr>
        <w:spacing w:after="120" w:line="269" w:lineRule="auto"/>
      </w:pPr>
      <w:r>
        <w:t>The architecture description is based on the Bicep code supplied for this document. Microsoft documentation used to validate service and template terminology:</w:t>
      </w:r>
    </w:p>
    <w:p w14:paraId="3B7FFB50" w14:textId="77777777" w:rsidR="003A60B2" w:rsidRDefault="00000000">
      <w:pPr>
        <w:pStyle w:val="ListBullet"/>
        <w:spacing w:after="60"/>
        <w:ind w:left="317"/>
      </w:pPr>
      <w:r>
        <w:t>Microsoft Learn: Microsoft.KeyVault/vaults Bicep resource reference — https://learn.microsoft.com/en-us/azure/templates/microsoft.keyvault/vaults</w:t>
      </w:r>
    </w:p>
    <w:p w14:paraId="37D90860" w14:textId="77777777" w:rsidR="003A60B2" w:rsidRDefault="00000000">
      <w:pPr>
        <w:pStyle w:val="ListBullet"/>
        <w:spacing w:after="60"/>
        <w:ind w:left="317"/>
      </w:pPr>
      <w:r>
        <w:t>Microsoft Learn: Manage Azure Cosmos DB for NoSQL resources with Bicep — https://learn.microsoft.com/en-us/azure/cosmos-db/manage-with-bicep</w:t>
      </w:r>
    </w:p>
    <w:p w14:paraId="1C231C53" w14:textId="77777777" w:rsidR="003A60B2" w:rsidRDefault="00000000">
      <w:pPr>
        <w:spacing w:after="120" w:line="269" w:lineRule="auto"/>
      </w:pPr>
      <w:r>
        <w:t>This document explains an intended architecture and implementation sequence. It is not a certification, security guarantee, legal opinion, or confirmation that the environment has been deployed or tested.</w:t>
      </w:r>
    </w:p>
    <w:sectPr w:rsidR="003A60B2" w:rsidSect="00034616">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DAA1" w14:textId="77777777" w:rsidR="000B1EE2" w:rsidRDefault="000B1EE2">
      <w:pPr>
        <w:spacing w:after="0" w:line="240" w:lineRule="auto"/>
      </w:pPr>
      <w:r>
        <w:separator/>
      </w:r>
    </w:p>
  </w:endnote>
  <w:endnote w:type="continuationSeparator" w:id="0">
    <w:p w14:paraId="130C8867" w14:textId="77777777" w:rsidR="000B1EE2" w:rsidRDefault="000B1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FF77" w14:textId="77777777" w:rsidR="003A60B2" w:rsidRDefault="00000000">
    <w:pPr>
      <w:pStyle w:val="Footer"/>
      <w:jc w:val="center"/>
    </w:pPr>
    <w:r>
      <w:rPr>
        <w:color w:val="5E6A78"/>
        <w:sz w:val="16"/>
      </w:rPr>
      <w:t>Confidential working document  |  Jamie Lynn Schallert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F5AD" w14:textId="77777777" w:rsidR="000B1EE2" w:rsidRDefault="000B1EE2">
      <w:pPr>
        <w:spacing w:after="0" w:line="240" w:lineRule="auto"/>
      </w:pPr>
      <w:r>
        <w:separator/>
      </w:r>
    </w:p>
  </w:footnote>
  <w:footnote w:type="continuationSeparator" w:id="0">
    <w:p w14:paraId="40C57E91" w14:textId="77777777" w:rsidR="000B1EE2" w:rsidRDefault="000B1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D6DC" w14:textId="77777777" w:rsidR="003A60B2" w:rsidRDefault="00000000">
    <w:pPr>
      <w:pStyle w:val="Header"/>
      <w:jc w:val="right"/>
    </w:pPr>
    <w:r>
      <w:rPr>
        <w:b/>
        <w:color w:val="5E6A78"/>
        <w:sz w:val="16"/>
      </w:rPr>
      <w:t>DRE  |  LEGAL FIREWALL INFRASTRUCTURE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8492777">
    <w:abstractNumId w:val="8"/>
  </w:num>
  <w:num w:numId="2" w16cid:durableId="1793674147">
    <w:abstractNumId w:val="6"/>
  </w:num>
  <w:num w:numId="3" w16cid:durableId="2016106207">
    <w:abstractNumId w:val="5"/>
  </w:num>
  <w:num w:numId="4" w16cid:durableId="1516653325">
    <w:abstractNumId w:val="4"/>
  </w:num>
  <w:num w:numId="5" w16cid:durableId="600842539">
    <w:abstractNumId w:val="7"/>
  </w:num>
  <w:num w:numId="6" w16cid:durableId="543950719">
    <w:abstractNumId w:val="3"/>
  </w:num>
  <w:num w:numId="7" w16cid:durableId="1805466799">
    <w:abstractNumId w:val="2"/>
  </w:num>
  <w:num w:numId="8" w16cid:durableId="970750093">
    <w:abstractNumId w:val="1"/>
  </w:num>
  <w:num w:numId="9" w16cid:durableId="1562520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EE2"/>
    <w:rsid w:val="000D2EE9"/>
    <w:rsid w:val="0015074B"/>
    <w:rsid w:val="0029639D"/>
    <w:rsid w:val="00326F90"/>
    <w:rsid w:val="003A60B2"/>
    <w:rsid w:val="00AA1D8D"/>
    <w:rsid w:val="00B47730"/>
    <w:rsid w:val="00CB0664"/>
    <w:rsid w:val="00D409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1A69F"/>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w:hAnsi="Apto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ptos" w:hAnsi="Aptos"/>
    </w:rPr>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2764D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w:hAnsi="Apto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w:hAnsi="Apto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ptos" w:hAnsi="Aptos"/>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w:hAnsi="Apto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ptos" w:hAnsi="Aptos"/>
      <w:b/>
      <w:bCs/>
    </w:rPr>
  </w:style>
  <w:style w:type="character" w:styleId="Emphasis">
    <w:name w:val="Emphasis"/>
    <w:basedOn w:val="DefaultParagraphFont"/>
    <w:uiPriority w:val="20"/>
    <w:qFormat/>
    <w:rsid w:val="00FC693F"/>
    <w:rPr>
      <w:rFonts w:ascii="Aptos" w:hAnsi="Apto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rPr>
  </w:style>
  <w:style w:type="character" w:styleId="SubtleEmphasis">
    <w:name w:val="Subtle Emphasis"/>
    <w:basedOn w:val="DefaultParagraphFont"/>
    <w:uiPriority w:val="19"/>
    <w:qFormat/>
    <w:rsid w:val="00FC693F"/>
    <w:rPr>
      <w:rFonts w:ascii="Aptos" w:hAnsi="Aptos"/>
      <w:i/>
      <w:iCs/>
      <w:color w:val="808080" w:themeColor="text1" w:themeTint="7F"/>
    </w:rPr>
  </w:style>
  <w:style w:type="character" w:styleId="IntenseEmphasis">
    <w:name w:val="Intense Emphasis"/>
    <w:basedOn w:val="DefaultParagraphFont"/>
    <w:uiPriority w:val="21"/>
    <w:qFormat/>
    <w:rsid w:val="00FC693F"/>
    <w:rPr>
      <w:rFonts w:ascii="Aptos" w:hAnsi="Aptos"/>
      <w:b/>
      <w:bCs/>
      <w:i/>
      <w:iCs/>
      <w:color w:val="4F81BD" w:themeColor="accent1"/>
    </w:rPr>
  </w:style>
  <w:style w:type="character" w:styleId="SubtleReference">
    <w:name w:val="Subtle Reference"/>
    <w:basedOn w:val="DefaultParagraphFont"/>
    <w:uiPriority w:val="31"/>
    <w:qFormat/>
    <w:rsid w:val="00FC693F"/>
    <w:rPr>
      <w:rFonts w:ascii="Aptos" w:hAnsi="Aptos"/>
      <w:smallCaps/>
      <w:color w:val="C0504D" w:themeColor="accent2"/>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u w:val="single"/>
    </w:rPr>
  </w:style>
  <w:style w:type="character" w:styleId="BookTitle">
    <w:name w:val="Book Title"/>
    <w:basedOn w:val="DefaultParagraphFont"/>
    <w:uiPriority w:val="33"/>
    <w:qFormat/>
    <w:rsid w:val="00FC693F"/>
    <w:rPr>
      <w:rFonts w:ascii="Aptos" w:hAnsi="Aptos"/>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1339</Words>
  <Characters>7636</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Legal Firewall Azure Infrastructure Deployment Process Guide</vt:lpstr>
      <vt:lpstr>What the Template Does</vt:lpstr>
      <vt:lpstr>    Plain-English Deployment Sequence</vt:lpstr>
      <vt:lpstr>Why Each Control Matters</vt:lpstr>
      <vt:lpstr>    Why the Combined Architecture Is Important</vt:lpstr>
      <vt:lpstr>Current-State Gap Review</vt:lpstr>
      <vt:lpstr>Recommended Build-Out Order</vt:lpstr>
      <vt:lpstr>Source Notes</vt:lpstr>
    </vt:vector>
  </TitlesOfParts>
  <Manager/>
  <Company/>
  <LinksUpToDate>false</LinksUpToDate>
  <CharactersWithSpaces>8958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Firewall Azure Infrastructure Deployment Process Guide</dc:title>
  <dc:subject>Bicep deployment flow, importance, and implementation gap review</dc:subject>
  <dc:creator>Jamie Schallert</dc:creator>
  <cp:keywords/>
  <dc:description/>
  <cp:lastModifiedBy>Jamie Lynn Schallert</cp:lastModifiedBy>
  <cp:revision>2</cp:revision>
  <dcterms:created xsi:type="dcterms:W3CDTF">2026-09-13T15:44:00Z</dcterms:created>
  <dcterms:modified xsi:type="dcterms:W3CDTF">2026-09-13T15:44:00Z</dcterms:modified>
  <cp:category/>
</cp:coreProperties>
</file>