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027E8" w14:textId="77777777" w:rsidR="009F7118" w:rsidRDefault="00000000">
      <w:pPr>
        <w:spacing w:before="1400"/>
        <w:jc w:val="center"/>
      </w:pPr>
      <w:r>
        <w:rPr>
          <w:rFonts w:ascii="Aptos Display" w:hAnsi="Aptos Display"/>
          <w:b/>
          <w:color w:val="2764D8"/>
          <w:sz w:val="92"/>
        </w:rPr>
        <w:t>DRE</w:t>
      </w:r>
    </w:p>
    <w:p w14:paraId="4CD7ED76" w14:textId="77777777" w:rsidR="009F7118" w:rsidRDefault="00000000">
      <w:pPr>
        <w:jc w:val="center"/>
      </w:pPr>
      <w:r>
        <w:rPr>
          <w:b/>
          <w:color w:val="12233F"/>
          <w:sz w:val="36"/>
        </w:rPr>
        <w:t>DR. E  |  DETERMINISTIC REVIEW ENGINE</w:t>
      </w:r>
    </w:p>
    <w:p w14:paraId="12BD9D37" w14:textId="77777777" w:rsidR="009F7118" w:rsidRDefault="00000000">
      <w:pPr>
        <w:spacing w:before="200"/>
        <w:jc w:val="center"/>
      </w:pPr>
      <w:r>
        <w:rPr>
          <w:sz w:val="28"/>
        </w:rPr>
        <w:t>A deterministic-first revenue protection gateway for legal pre-billing and Outside Counsel Guidelines enforcement</w:t>
      </w:r>
    </w:p>
    <w:p w14:paraId="0F44F630" w14:textId="77777777" w:rsidR="009F7118" w:rsidRDefault="009F7118">
      <w:pPr>
        <w:spacing w:before="900"/>
        <w:jc w:val="cente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259"/>
        <w:gridCol w:w="9720"/>
      </w:tblGrid>
      <w:tr w:rsidR="009F7118" w14:paraId="5FB9E72F" w14:textId="77777777">
        <w:trPr>
          <w:jc w:val="center"/>
        </w:trPr>
        <w:tc>
          <w:tcPr>
            <w:tcW w:w="259" w:type="dxa"/>
            <w:shd w:val="clear" w:color="auto" w:fill="2764D8"/>
          </w:tcPr>
          <w:p w14:paraId="63A5538C" w14:textId="77777777" w:rsidR="009F7118" w:rsidRDefault="009F7118"/>
        </w:tc>
        <w:tc>
          <w:tcPr>
            <w:tcW w:w="9720" w:type="dxa"/>
            <w:shd w:val="clear" w:color="auto" w:fill="EAF1FB"/>
            <w:tcMar>
              <w:top w:w="160" w:type="dxa"/>
              <w:left w:w="160" w:type="dxa"/>
              <w:bottom w:w="160" w:type="dxa"/>
              <w:right w:w="160" w:type="dxa"/>
            </w:tcMar>
          </w:tcPr>
          <w:p w14:paraId="5882FFF8" w14:textId="77777777" w:rsidR="009F7118" w:rsidRDefault="00000000">
            <w:pPr>
              <w:spacing w:after="60"/>
            </w:pPr>
            <w:r>
              <w:rPr>
                <w:b/>
                <w:color w:val="12233F"/>
                <w:sz w:val="22"/>
              </w:rPr>
              <w:t>THE INVESTMENT THESIS</w:t>
            </w:r>
          </w:p>
          <w:p w14:paraId="34A2AC54" w14:textId="77777777" w:rsidR="009F7118" w:rsidRDefault="00000000">
            <w:pPr>
              <w:spacing w:after="40" w:line="259" w:lineRule="auto"/>
            </w:pPr>
            <w:r>
              <w:t>DRE is being developed to stop preventable billing defects before they become client deductions. It combines structured schema validation, policy enforcement, financial and client context, authorized performance records, repeated multi-agent consensus for quarantined exceptions, and final human authority.</w:t>
            </w:r>
          </w:p>
        </w:tc>
      </w:tr>
    </w:tbl>
    <w:p w14:paraId="79E6D9A7" w14:textId="77777777" w:rsidR="009F7118" w:rsidRDefault="00000000">
      <w:pPr>
        <w:spacing w:before="1500"/>
        <w:jc w:val="center"/>
      </w:pPr>
      <w:r>
        <w:rPr>
          <w:b/>
          <w:color w:val="5E6A78"/>
        </w:rPr>
        <w:t>Investor-facing long-form sales sheet</w:t>
      </w:r>
    </w:p>
    <w:p w14:paraId="2838C4DE" w14:textId="77777777" w:rsidR="009F7118" w:rsidRDefault="00000000">
      <w:pPr>
        <w:jc w:val="center"/>
      </w:pPr>
      <w:r>
        <w:rPr>
          <w:sz w:val="18"/>
        </w:rPr>
        <w:t>Proprietor: Jamie Lynn Schallert  |  Independent software venture</w:t>
      </w:r>
    </w:p>
    <w:p w14:paraId="24E55363" w14:textId="77777777" w:rsidR="009F7118" w:rsidRDefault="00000000">
      <w:r>
        <w:br w:type="page"/>
      </w:r>
    </w:p>
    <w:p w14:paraId="0CBCD589" w14:textId="77777777" w:rsidR="009F7118" w:rsidRDefault="00000000">
      <w:pPr>
        <w:pStyle w:val="Heading1"/>
      </w:pPr>
      <w:r>
        <w:lastRenderedPageBreak/>
        <w:t>The Opportunity</w:t>
      </w:r>
    </w:p>
    <w:p w14:paraId="435890B5" w14:textId="77777777" w:rsidR="009F7118" w:rsidRDefault="00000000">
      <w:pPr>
        <w:spacing w:after="120" w:line="269" w:lineRule="auto"/>
      </w:pPr>
      <w:r>
        <w:t>Legal billing is governed by two realities at once: the billing system must receive correctly structured transaction data, and each client may impose detailed Outside Counsel Guidelines that determine what will be accepted, reduced, questioned, or rejected. The costly failure is often discovered late, after time has been entered, reviewed, invoiced, and challenged.</w:t>
      </w:r>
    </w:p>
    <w:p w14:paraId="37B4427A" w14:textId="77777777" w:rsidR="009F7118" w:rsidRDefault="00000000">
      <w:pPr>
        <w:spacing w:after="120" w:line="269" w:lineRule="auto"/>
      </w:pPr>
      <w:r>
        <w:t>DRE is being built as a pre-billing control layer. It is intended to evaluate a billing transaction before downstream submission, resolve what can be resolved through deterministic controls, quarantine what requires contextual review, and preserve a complete audit trail for the human decision-maker.</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259"/>
        <w:gridCol w:w="9720"/>
      </w:tblGrid>
      <w:tr w:rsidR="009F7118" w14:paraId="6D709FBC" w14:textId="77777777">
        <w:trPr>
          <w:jc w:val="center"/>
        </w:trPr>
        <w:tc>
          <w:tcPr>
            <w:tcW w:w="259" w:type="dxa"/>
            <w:shd w:val="clear" w:color="auto" w:fill="6F42C1"/>
          </w:tcPr>
          <w:p w14:paraId="19670A2E" w14:textId="77777777" w:rsidR="009F7118" w:rsidRDefault="009F7118"/>
        </w:tc>
        <w:tc>
          <w:tcPr>
            <w:tcW w:w="9720" w:type="dxa"/>
            <w:shd w:val="clear" w:color="auto" w:fill="F3EEFB"/>
            <w:tcMar>
              <w:top w:w="160" w:type="dxa"/>
              <w:left w:w="160" w:type="dxa"/>
              <w:bottom w:w="160" w:type="dxa"/>
              <w:right w:w="160" w:type="dxa"/>
            </w:tcMar>
          </w:tcPr>
          <w:p w14:paraId="20FE419B" w14:textId="77777777" w:rsidR="009F7118" w:rsidRDefault="00000000">
            <w:pPr>
              <w:spacing w:after="60"/>
            </w:pPr>
            <w:r>
              <w:rPr>
                <w:b/>
                <w:color w:val="12233F"/>
                <w:sz w:val="22"/>
              </w:rPr>
              <w:t>NOT AN AI CHATBOT</w:t>
            </w:r>
          </w:p>
          <w:p w14:paraId="5527A84E" w14:textId="77777777" w:rsidR="009F7118" w:rsidRDefault="00000000">
            <w:pPr>
              <w:spacing w:after="40" w:line="259" w:lineRule="auto"/>
            </w:pPr>
            <w:r>
              <w:t>DRE does not begin with an open-ended model prompt. The transaction first passes through deterministic schema and policy controls. Multi-agent analysis is reserved for quarantined items that cannot be safely resolved by defined rules alone.</w:t>
            </w:r>
          </w:p>
        </w:tc>
      </w:tr>
    </w:tbl>
    <w:p w14:paraId="14ACE29D" w14:textId="77777777" w:rsidR="009F7118" w:rsidRDefault="00000000">
      <w:pPr>
        <w:pStyle w:val="Heading2"/>
      </w:pPr>
      <w:r>
        <w:t>The Product in One Sentence</w:t>
      </w:r>
    </w:p>
    <w:p w14:paraId="477E697E" w14:textId="77777777" w:rsidR="009F7118" w:rsidRDefault="00000000">
      <w:pPr>
        <w:spacing w:after="120" w:line="269" w:lineRule="auto"/>
      </w:pPr>
      <w:r>
        <w:t>DRE is a deterministic-first review engine that intercepts structured legal billing transactions, validates their form and policy fit against financial, client, and authorized performance context, and routes exceptions through repeated three-agent consensus before a referee node prepares a recommendation for human review.</w:t>
      </w:r>
    </w:p>
    <w:p w14:paraId="57A1D30D" w14:textId="77777777" w:rsidR="009F7118" w:rsidRDefault="00000000">
      <w:pPr>
        <w:pStyle w:val="Heading2"/>
      </w:pPr>
      <w:r>
        <w:t>What DRE Is Designed to Protect</w:t>
      </w:r>
    </w:p>
    <w:p w14:paraId="762A701D" w14:textId="77777777" w:rsidR="009F7118" w:rsidRDefault="00000000">
      <w:pPr>
        <w:pStyle w:val="ListBullet"/>
        <w:spacing w:after="60"/>
        <w:ind w:left="317"/>
      </w:pPr>
      <w:r>
        <w:t>Revenue that would otherwise be delayed, reduced, or written off after a client billing challenge.</w:t>
      </w:r>
    </w:p>
    <w:p w14:paraId="551BF2EF" w14:textId="77777777" w:rsidR="009F7118" w:rsidRDefault="00000000">
      <w:pPr>
        <w:pStyle w:val="ListBullet"/>
        <w:spacing w:after="60"/>
        <w:ind w:left="317"/>
      </w:pPr>
      <w:r>
        <w:t>Attorney and billing-team time consumed by preventable corrections and resubmissions.</w:t>
      </w:r>
    </w:p>
    <w:p w14:paraId="2C4391F8" w14:textId="77777777" w:rsidR="009F7118" w:rsidRDefault="00000000">
      <w:pPr>
        <w:pStyle w:val="ListBullet"/>
        <w:spacing w:after="60"/>
        <w:ind w:left="317"/>
      </w:pPr>
      <w:r>
        <w:t>Client trust by applying the client’s own governing rules before invoice delivery.</w:t>
      </w:r>
    </w:p>
    <w:p w14:paraId="37439416" w14:textId="77777777" w:rsidR="009F7118" w:rsidRDefault="00000000">
      <w:pPr>
        <w:pStyle w:val="ListBullet"/>
        <w:spacing w:after="60"/>
        <w:ind w:left="317"/>
      </w:pPr>
      <w:r>
        <w:t>Auditability by preserving the original transaction, rule path, consensus record, recommendation, and human disposition.</w:t>
      </w:r>
    </w:p>
    <w:p w14:paraId="3694E44A" w14:textId="77777777" w:rsidR="009F7118" w:rsidRDefault="00000000">
      <w:pPr>
        <w:pStyle w:val="ListBullet"/>
        <w:spacing w:after="60"/>
        <w:ind w:left="317"/>
      </w:pPr>
      <w:r>
        <w:t>Operational control by keeping deterministic rules and human authority ahead of generative judgment.</w:t>
      </w:r>
    </w:p>
    <w:p w14:paraId="0906ABA0" w14:textId="77777777" w:rsidR="009F7118" w:rsidRDefault="00000000">
      <w:pPr>
        <w:pStyle w:val="Heading2"/>
      </w:pPr>
      <w:r>
        <w:t>Why the Wedge Is Legal Pre-Billing</w:t>
      </w:r>
    </w:p>
    <w:p w14:paraId="5FF2CA34" w14:textId="77777777" w:rsidR="009F7118" w:rsidRDefault="00000000">
      <w:pPr>
        <w:spacing w:after="120" w:line="269" w:lineRule="auto"/>
      </w:pPr>
      <w:r>
        <w:t>The initial market is automated pre-billing and OCG enforcement for law firms. The entry point is narrow enough to measure and important enough to matter: evaluate billing narratives and transaction metadata before they become invoice problems. The same engine pattern may later support other high-compliance transaction environments, but the launch language should remain legal-first.</w:t>
      </w:r>
    </w:p>
    <w:p w14:paraId="004405C3" w14:textId="77777777" w:rsidR="009F7118" w:rsidRDefault="00000000">
      <w:r>
        <w:br w:type="page"/>
      </w:r>
    </w:p>
    <w:p w14:paraId="4C9DA749" w14:textId="77777777" w:rsidR="009F7118" w:rsidRDefault="00000000">
      <w:pPr>
        <w:pStyle w:val="Heading1"/>
      </w:pPr>
      <w:r>
        <w:t>How DRE Works</w:t>
      </w:r>
    </w:p>
    <w:p w14:paraId="5727841F" w14:textId="77777777" w:rsidR="009F7118" w:rsidRDefault="00000000">
      <w:pPr>
        <w:spacing w:after="120" w:line="269" w:lineRule="auto"/>
      </w:pPr>
      <w:r>
        <w:t>DRE receives a structured billing transaction, validates required fields and integrity, applies the governing policy context, resolves hard-rule issues deterministically, and isolates semantic exceptions for controlled review.</w:t>
      </w:r>
    </w:p>
    <w:tbl>
      <w:tblPr>
        <w:tblStyle w:val="TableGrid"/>
        <w:tblW w:w="0" w:type="auto"/>
        <w:jc w:val="center"/>
        <w:tblLayout w:type="fixed"/>
        <w:tblLook w:val="04A0" w:firstRow="1" w:lastRow="0" w:firstColumn="1" w:lastColumn="0" w:noHBand="0" w:noVBand="1"/>
      </w:tblPr>
      <w:tblGrid>
        <w:gridCol w:w="576"/>
        <w:gridCol w:w="2304"/>
        <w:gridCol w:w="6912"/>
      </w:tblGrid>
      <w:tr w:rsidR="009F7118" w14:paraId="3445056E" w14:textId="77777777">
        <w:trPr>
          <w:jc w:val="center"/>
        </w:trPr>
        <w:tc>
          <w:tcPr>
            <w:tcW w:w="576" w:type="dxa"/>
            <w:shd w:val="clear" w:color="auto" w:fill="12233F"/>
            <w:tcMar>
              <w:top w:w="120" w:type="dxa"/>
              <w:left w:w="120" w:type="dxa"/>
              <w:bottom w:w="120" w:type="dxa"/>
              <w:right w:w="120" w:type="dxa"/>
            </w:tcMar>
          </w:tcPr>
          <w:p w14:paraId="22047101" w14:textId="77777777" w:rsidR="009F7118" w:rsidRDefault="00000000">
            <w:pPr>
              <w:jc w:val="center"/>
            </w:pPr>
            <w:r>
              <w:rPr>
                <w:b/>
                <w:color w:val="FFFFFF"/>
                <w:sz w:val="18"/>
              </w:rPr>
              <w:t>#</w:t>
            </w:r>
          </w:p>
        </w:tc>
        <w:tc>
          <w:tcPr>
            <w:tcW w:w="2304" w:type="dxa"/>
            <w:shd w:val="clear" w:color="auto" w:fill="12233F"/>
            <w:tcMar>
              <w:top w:w="120" w:type="dxa"/>
              <w:left w:w="120" w:type="dxa"/>
              <w:bottom w:w="120" w:type="dxa"/>
              <w:right w:w="120" w:type="dxa"/>
            </w:tcMar>
          </w:tcPr>
          <w:p w14:paraId="1F7001BE" w14:textId="77777777" w:rsidR="009F7118" w:rsidRDefault="00000000">
            <w:pPr>
              <w:jc w:val="center"/>
            </w:pPr>
            <w:r>
              <w:rPr>
                <w:b/>
                <w:color w:val="FFFFFF"/>
                <w:sz w:val="18"/>
              </w:rPr>
              <w:t>Control Point</w:t>
            </w:r>
          </w:p>
        </w:tc>
        <w:tc>
          <w:tcPr>
            <w:tcW w:w="6912" w:type="dxa"/>
            <w:shd w:val="clear" w:color="auto" w:fill="12233F"/>
            <w:tcMar>
              <w:top w:w="120" w:type="dxa"/>
              <w:left w:w="120" w:type="dxa"/>
              <w:bottom w:w="120" w:type="dxa"/>
              <w:right w:w="120" w:type="dxa"/>
            </w:tcMar>
          </w:tcPr>
          <w:p w14:paraId="26FF895A" w14:textId="77777777" w:rsidR="009F7118" w:rsidRDefault="00000000">
            <w:pPr>
              <w:jc w:val="center"/>
            </w:pPr>
            <w:r>
              <w:rPr>
                <w:b/>
                <w:color w:val="FFFFFF"/>
                <w:sz w:val="18"/>
              </w:rPr>
              <w:t>Purpose</w:t>
            </w:r>
          </w:p>
        </w:tc>
      </w:tr>
      <w:tr w:rsidR="009F7118" w14:paraId="051BBAB2" w14:textId="77777777">
        <w:trPr>
          <w:jc w:val="center"/>
        </w:trPr>
        <w:tc>
          <w:tcPr>
            <w:tcW w:w="576" w:type="dxa"/>
            <w:shd w:val="clear" w:color="auto" w:fill="F5F8FC"/>
            <w:tcMar>
              <w:top w:w="120" w:type="dxa"/>
              <w:left w:w="120" w:type="dxa"/>
              <w:bottom w:w="120" w:type="dxa"/>
              <w:right w:w="120" w:type="dxa"/>
            </w:tcMar>
            <w:vAlign w:val="center"/>
          </w:tcPr>
          <w:p w14:paraId="56EE2E97" w14:textId="77777777" w:rsidR="009F7118" w:rsidRDefault="00000000">
            <w:pPr>
              <w:spacing w:after="20"/>
            </w:pPr>
            <w:r>
              <w:rPr>
                <w:sz w:val="17"/>
              </w:rPr>
              <w:t>1</w:t>
            </w:r>
          </w:p>
        </w:tc>
        <w:tc>
          <w:tcPr>
            <w:tcW w:w="2304" w:type="dxa"/>
            <w:shd w:val="clear" w:color="auto" w:fill="F5F8FC"/>
            <w:tcMar>
              <w:top w:w="120" w:type="dxa"/>
              <w:left w:w="120" w:type="dxa"/>
              <w:bottom w:w="120" w:type="dxa"/>
              <w:right w:w="120" w:type="dxa"/>
            </w:tcMar>
            <w:vAlign w:val="center"/>
          </w:tcPr>
          <w:p w14:paraId="0A7E4AB3" w14:textId="77777777" w:rsidR="009F7118" w:rsidRDefault="00000000">
            <w:pPr>
              <w:spacing w:after="20"/>
            </w:pPr>
            <w:r>
              <w:rPr>
                <w:sz w:val="17"/>
              </w:rPr>
              <w:t>INGEST</w:t>
            </w:r>
          </w:p>
        </w:tc>
        <w:tc>
          <w:tcPr>
            <w:tcW w:w="6912" w:type="dxa"/>
            <w:shd w:val="clear" w:color="auto" w:fill="F5F8FC"/>
            <w:tcMar>
              <w:top w:w="120" w:type="dxa"/>
              <w:left w:w="120" w:type="dxa"/>
              <w:bottom w:w="120" w:type="dxa"/>
              <w:right w:w="120" w:type="dxa"/>
            </w:tcMar>
            <w:vAlign w:val="center"/>
          </w:tcPr>
          <w:p w14:paraId="2A046176" w14:textId="77777777" w:rsidR="009F7118" w:rsidRDefault="00000000">
            <w:pPr>
              <w:spacing w:after="20"/>
            </w:pPr>
            <w:r>
              <w:rPr>
                <w:sz w:val="17"/>
              </w:rPr>
              <w:t>Receive the billing transaction, metadata, narrative, matter identifiers, timekeeper context, and applicable references.</w:t>
            </w:r>
          </w:p>
        </w:tc>
      </w:tr>
      <w:tr w:rsidR="009F7118" w14:paraId="3350DF3A" w14:textId="77777777">
        <w:trPr>
          <w:jc w:val="center"/>
        </w:trPr>
        <w:tc>
          <w:tcPr>
            <w:tcW w:w="576" w:type="dxa"/>
            <w:shd w:val="clear" w:color="auto" w:fill="FFFFFF"/>
            <w:tcMar>
              <w:top w:w="120" w:type="dxa"/>
              <w:left w:w="120" w:type="dxa"/>
              <w:bottom w:w="120" w:type="dxa"/>
              <w:right w:w="120" w:type="dxa"/>
            </w:tcMar>
            <w:vAlign w:val="center"/>
          </w:tcPr>
          <w:p w14:paraId="13D5F571" w14:textId="77777777" w:rsidR="009F7118" w:rsidRDefault="00000000">
            <w:pPr>
              <w:spacing w:after="20"/>
            </w:pPr>
            <w:r>
              <w:rPr>
                <w:sz w:val="17"/>
              </w:rPr>
              <w:t>2</w:t>
            </w:r>
          </w:p>
        </w:tc>
        <w:tc>
          <w:tcPr>
            <w:tcW w:w="2304" w:type="dxa"/>
            <w:shd w:val="clear" w:color="auto" w:fill="FFFFFF"/>
            <w:tcMar>
              <w:top w:w="120" w:type="dxa"/>
              <w:left w:w="120" w:type="dxa"/>
              <w:bottom w:w="120" w:type="dxa"/>
              <w:right w:w="120" w:type="dxa"/>
            </w:tcMar>
            <w:vAlign w:val="center"/>
          </w:tcPr>
          <w:p w14:paraId="12359B10" w14:textId="77777777" w:rsidR="009F7118" w:rsidRDefault="00000000">
            <w:pPr>
              <w:spacing w:after="20"/>
            </w:pPr>
            <w:r>
              <w:rPr>
                <w:sz w:val="17"/>
              </w:rPr>
              <w:t>SCHEMA VALIDATION</w:t>
            </w:r>
          </w:p>
        </w:tc>
        <w:tc>
          <w:tcPr>
            <w:tcW w:w="6912" w:type="dxa"/>
            <w:shd w:val="clear" w:color="auto" w:fill="FFFFFF"/>
            <w:tcMar>
              <w:top w:w="120" w:type="dxa"/>
              <w:left w:w="120" w:type="dxa"/>
              <w:bottom w:w="120" w:type="dxa"/>
              <w:right w:w="120" w:type="dxa"/>
            </w:tcMar>
            <w:vAlign w:val="center"/>
          </w:tcPr>
          <w:p w14:paraId="2D8A7255" w14:textId="77777777" w:rsidR="009F7118" w:rsidRDefault="00000000">
            <w:pPr>
              <w:spacing w:after="20"/>
            </w:pPr>
            <w:r>
              <w:rPr>
                <w:sz w:val="17"/>
              </w:rPr>
              <w:t>Confirm required fields, types, formats, relationships, identifiers, and transaction integrity before policy analysis.</w:t>
            </w:r>
          </w:p>
        </w:tc>
      </w:tr>
      <w:tr w:rsidR="009F7118" w14:paraId="3CE7DEFA" w14:textId="77777777">
        <w:trPr>
          <w:jc w:val="center"/>
        </w:trPr>
        <w:tc>
          <w:tcPr>
            <w:tcW w:w="576" w:type="dxa"/>
            <w:shd w:val="clear" w:color="auto" w:fill="F5F8FC"/>
            <w:tcMar>
              <w:top w:w="120" w:type="dxa"/>
              <w:left w:w="120" w:type="dxa"/>
              <w:bottom w:w="120" w:type="dxa"/>
              <w:right w:w="120" w:type="dxa"/>
            </w:tcMar>
            <w:vAlign w:val="center"/>
          </w:tcPr>
          <w:p w14:paraId="40907E53" w14:textId="77777777" w:rsidR="009F7118" w:rsidRDefault="00000000">
            <w:pPr>
              <w:spacing w:after="20"/>
            </w:pPr>
            <w:r>
              <w:rPr>
                <w:sz w:val="17"/>
              </w:rPr>
              <w:t>3</w:t>
            </w:r>
          </w:p>
        </w:tc>
        <w:tc>
          <w:tcPr>
            <w:tcW w:w="2304" w:type="dxa"/>
            <w:shd w:val="clear" w:color="auto" w:fill="F5F8FC"/>
            <w:tcMar>
              <w:top w:w="120" w:type="dxa"/>
              <w:left w:w="120" w:type="dxa"/>
              <w:bottom w:w="120" w:type="dxa"/>
              <w:right w:w="120" w:type="dxa"/>
            </w:tcMar>
            <w:vAlign w:val="center"/>
          </w:tcPr>
          <w:p w14:paraId="024B1038" w14:textId="77777777" w:rsidR="009F7118" w:rsidRDefault="00000000">
            <w:pPr>
              <w:spacing w:after="20"/>
            </w:pPr>
            <w:r>
              <w:rPr>
                <w:sz w:val="17"/>
              </w:rPr>
              <w:t>POLICY EVALUATION</w:t>
            </w:r>
          </w:p>
        </w:tc>
        <w:tc>
          <w:tcPr>
            <w:tcW w:w="6912" w:type="dxa"/>
            <w:shd w:val="clear" w:color="auto" w:fill="F5F8FC"/>
            <w:tcMar>
              <w:top w:w="120" w:type="dxa"/>
              <w:left w:w="120" w:type="dxa"/>
              <w:bottom w:w="120" w:type="dxa"/>
              <w:right w:w="120" w:type="dxa"/>
            </w:tcMar>
            <w:vAlign w:val="center"/>
          </w:tcPr>
          <w:p w14:paraId="14B9F48F" w14:textId="77777777" w:rsidR="009F7118" w:rsidRDefault="00000000">
            <w:pPr>
              <w:spacing w:after="20"/>
            </w:pPr>
            <w:r>
              <w:rPr>
                <w:sz w:val="17"/>
              </w:rPr>
              <w:t>Apply the governing OCG and configured rules with relevant financial, client, and authorized performance context.</w:t>
            </w:r>
          </w:p>
        </w:tc>
      </w:tr>
      <w:tr w:rsidR="009F7118" w14:paraId="7EDE66C2" w14:textId="77777777">
        <w:trPr>
          <w:jc w:val="center"/>
        </w:trPr>
        <w:tc>
          <w:tcPr>
            <w:tcW w:w="576" w:type="dxa"/>
            <w:shd w:val="clear" w:color="auto" w:fill="FFFFFF"/>
            <w:tcMar>
              <w:top w:w="120" w:type="dxa"/>
              <w:left w:w="120" w:type="dxa"/>
              <w:bottom w:w="120" w:type="dxa"/>
              <w:right w:w="120" w:type="dxa"/>
            </w:tcMar>
            <w:vAlign w:val="center"/>
          </w:tcPr>
          <w:p w14:paraId="2662032D" w14:textId="77777777" w:rsidR="009F7118" w:rsidRDefault="00000000">
            <w:pPr>
              <w:spacing w:after="20"/>
            </w:pPr>
            <w:r>
              <w:rPr>
                <w:sz w:val="17"/>
              </w:rPr>
              <w:t>4</w:t>
            </w:r>
          </w:p>
        </w:tc>
        <w:tc>
          <w:tcPr>
            <w:tcW w:w="2304" w:type="dxa"/>
            <w:shd w:val="clear" w:color="auto" w:fill="FFFFFF"/>
            <w:tcMar>
              <w:top w:w="120" w:type="dxa"/>
              <w:left w:w="120" w:type="dxa"/>
              <w:bottom w:w="120" w:type="dxa"/>
              <w:right w:w="120" w:type="dxa"/>
            </w:tcMar>
            <w:vAlign w:val="center"/>
          </w:tcPr>
          <w:p w14:paraId="19208D79" w14:textId="77777777" w:rsidR="009F7118" w:rsidRDefault="00000000">
            <w:pPr>
              <w:spacing w:after="20"/>
            </w:pPr>
            <w:r>
              <w:rPr>
                <w:sz w:val="17"/>
              </w:rPr>
              <w:t>DETERMINISTIC ROUTING</w:t>
            </w:r>
          </w:p>
        </w:tc>
        <w:tc>
          <w:tcPr>
            <w:tcW w:w="6912" w:type="dxa"/>
            <w:shd w:val="clear" w:color="auto" w:fill="FFFFFF"/>
            <w:tcMar>
              <w:top w:w="120" w:type="dxa"/>
              <w:left w:w="120" w:type="dxa"/>
              <w:bottom w:w="120" w:type="dxa"/>
              <w:right w:w="120" w:type="dxa"/>
            </w:tcMar>
            <w:vAlign w:val="center"/>
          </w:tcPr>
          <w:p w14:paraId="10E0104F" w14:textId="77777777" w:rsidR="009F7118" w:rsidRDefault="00000000">
            <w:pPr>
              <w:spacing w:after="20"/>
            </w:pPr>
            <w:r>
              <w:rPr>
                <w:sz w:val="17"/>
              </w:rPr>
              <w:t>Send clearly compliant items forward. Quarantine violations, ambiguity, missing support, conflicts, or unresolved semantic issues.</w:t>
            </w:r>
          </w:p>
        </w:tc>
      </w:tr>
      <w:tr w:rsidR="009F7118" w14:paraId="745E3235" w14:textId="77777777">
        <w:trPr>
          <w:jc w:val="center"/>
        </w:trPr>
        <w:tc>
          <w:tcPr>
            <w:tcW w:w="576" w:type="dxa"/>
            <w:shd w:val="clear" w:color="auto" w:fill="F5F8FC"/>
            <w:tcMar>
              <w:top w:w="120" w:type="dxa"/>
              <w:left w:w="120" w:type="dxa"/>
              <w:bottom w:w="120" w:type="dxa"/>
              <w:right w:w="120" w:type="dxa"/>
            </w:tcMar>
            <w:vAlign w:val="center"/>
          </w:tcPr>
          <w:p w14:paraId="35192C4B" w14:textId="77777777" w:rsidR="009F7118" w:rsidRDefault="00000000">
            <w:pPr>
              <w:spacing w:after="20"/>
            </w:pPr>
            <w:r>
              <w:rPr>
                <w:sz w:val="17"/>
              </w:rPr>
              <w:t>5</w:t>
            </w:r>
          </w:p>
        </w:tc>
        <w:tc>
          <w:tcPr>
            <w:tcW w:w="2304" w:type="dxa"/>
            <w:shd w:val="clear" w:color="auto" w:fill="F5F8FC"/>
            <w:tcMar>
              <w:top w:w="120" w:type="dxa"/>
              <w:left w:w="120" w:type="dxa"/>
              <w:bottom w:w="120" w:type="dxa"/>
              <w:right w:w="120" w:type="dxa"/>
            </w:tcMar>
            <w:vAlign w:val="center"/>
          </w:tcPr>
          <w:p w14:paraId="21C510FD" w14:textId="77777777" w:rsidR="009F7118" w:rsidRDefault="00000000">
            <w:pPr>
              <w:spacing w:after="20"/>
            </w:pPr>
            <w:r>
              <w:rPr>
                <w:sz w:val="17"/>
              </w:rPr>
              <w:t>REPEATED CONSENSUS</w:t>
            </w:r>
          </w:p>
        </w:tc>
        <w:tc>
          <w:tcPr>
            <w:tcW w:w="6912" w:type="dxa"/>
            <w:shd w:val="clear" w:color="auto" w:fill="F5F8FC"/>
            <w:tcMar>
              <w:top w:w="120" w:type="dxa"/>
              <w:left w:w="120" w:type="dxa"/>
              <w:bottom w:w="120" w:type="dxa"/>
              <w:right w:w="120" w:type="dxa"/>
            </w:tcMar>
            <w:vAlign w:val="center"/>
          </w:tcPr>
          <w:p w14:paraId="2029884A" w14:textId="77777777" w:rsidR="009F7118" w:rsidRDefault="00000000">
            <w:pPr>
              <w:spacing w:after="20"/>
            </w:pPr>
            <w:r>
              <w:rPr>
                <w:sz w:val="17"/>
              </w:rPr>
              <w:t>Run quarantined items through three independent agents across three separate rounds, preserving each vote and rationale.</w:t>
            </w:r>
          </w:p>
        </w:tc>
      </w:tr>
      <w:tr w:rsidR="009F7118" w14:paraId="13BCC112" w14:textId="77777777">
        <w:trPr>
          <w:jc w:val="center"/>
        </w:trPr>
        <w:tc>
          <w:tcPr>
            <w:tcW w:w="576" w:type="dxa"/>
            <w:shd w:val="clear" w:color="auto" w:fill="FFFFFF"/>
            <w:tcMar>
              <w:top w:w="120" w:type="dxa"/>
              <w:left w:w="120" w:type="dxa"/>
              <w:bottom w:w="120" w:type="dxa"/>
              <w:right w:w="120" w:type="dxa"/>
            </w:tcMar>
            <w:vAlign w:val="center"/>
          </w:tcPr>
          <w:p w14:paraId="5CB9055A" w14:textId="77777777" w:rsidR="009F7118" w:rsidRDefault="00000000">
            <w:pPr>
              <w:spacing w:after="20"/>
            </w:pPr>
            <w:r>
              <w:rPr>
                <w:sz w:val="17"/>
              </w:rPr>
              <w:t>6</w:t>
            </w:r>
          </w:p>
        </w:tc>
        <w:tc>
          <w:tcPr>
            <w:tcW w:w="2304" w:type="dxa"/>
            <w:shd w:val="clear" w:color="auto" w:fill="FFFFFF"/>
            <w:tcMar>
              <w:top w:w="120" w:type="dxa"/>
              <w:left w:w="120" w:type="dxa"/>
              <w:bottom w:w="120" w:type="dxa"/>
              <w:right w:w="120" w:type="dxa"/>
            </w:tcMar>
            <w:vAlign w:val="center"/>
          </w:tcPr>
          <w:p w14:paraId="410F2F54" w14:textId="77777777" w:rsidR="009F7118" w:rsidRDefault="00000000">
            <w:pPr>
              <w:spacing w:after="20"/>
            </w:pPr>
            <w:r>
              <w:rPr>
                <w:sz w:val="17"/>
              </w:rPr>
              <w:t>REFEREE SYNTHESIS</w:t>
            </w:r>
          </w:p>
        </w:tc>
        <w:tc>
          <w:tcPr>
            <w:tcW w:w="6912" w:type="dxa"/>
            <w:shd w:val="clear" w:color="auto" w:fill="FFFFFF"/>
            <w:tcMar>
              <w:top w:w="120" w:type="dxa"/>
              <w:left w:w="120" w:type="dxa"/>
              <w:bottom w:w="120" w:type="dxa"/>
              <w:right w:w="120" w:type="dxa"/>
            </w:tcMar>
            <w:vAlign w:val="center"/>
          </w:tcPr>
          <w:p w14:paraId="7E9776FD" w14:textId="77777777" w:rsidR="009F7118" w:rsidRDefault="00000000">
            <w:pPr>
              <w:spacing w:after="20"/>
            </w:pPr>
            <w:r>
              <w:rPr>
                <w:sz w:val="17"/>
              </w:rPr>
              <w:t>Consolidate round-level outcomes into one traceable recommendation without converting it into an autonomous final decision.</w:t>
            </w:r>
          </w:p>
        </w:tc>
      </w:tr>
      <w:tr w:rsidR="009F7118" w14:paraId="105494E5" w14:textId="77777777">
        <w:trPr>
          <w:jc w:val="center"/>
        </w:trPr>
        <w:tc>
          <w:tcPr>
            <w:tcW w:w="576" w:type="dxa"/>
            <w:shd w:val="clear" w:color="auto" w:fill="F5F8FC"/>
            <w:tcMar>
              <w:top w:w="120" w:type="dxa"/>
              <w:left w:w="120" w:type="dxa"/>
              <w:bottom w:w="120" w:type="dxa"/>
              <w:right w:w="120" w:type="dxa"/>
            </w:tcMar>
            <w:vAlign w:val="center"/>
          </w:tcPr>
          <w:p w14:paraId="4B479E70" w14:textId="77777777" w:rsidR="009F7118" w:rsidRDefault="00000000">
            <w:pPr>
              <w:spacing w:after="20"/>
            </w:pPr>
            <w:r>
              <w:rPr>
                <w:sz w:val="17"/>
              </w:rPr>
              <w:t>7</w:t>
            </w:r>
          </w:p>
        </w:tc>
        <w:tc>
          <w:tcPr>
            <w:tcW w:w="2304" w:type="dxa"/>
            <w:shd w:val="clear" w:color="auto" w:fill="F5F8FC"/>
            <w:tcMar>
              <w:top w:w="120" w:type="dxa"/>
              <w:left w:w="120" w:type="dxa"/>
              <w:bottom w:w="120" w:type="dxa"/>
              <w:right w:w="120" w:type="dxa"/>
            </w:tcMar>
            <w:vAlign w:val="center"/>
          </w:tcPr>
          <w:p w14:paraId="159612CB" w14:textId="77777777" w:rsidR="009F7118" w:rsidRDefault="00000000">
            <w:pPr>
              <w:spacing w:after="20"/>
            </w:pPr>
            <w:r>
              <w:rPr>
                <w:sz w:val="17"/>
              </w:rPr>
              <w:t>HUMAN REVIEW</w:t>
            </w:r>
          </w:p>
        </w:tc>
        <w:tc>
          <w:tcPr>
            <w:tcW w:w="6912" w:type="dxa"/>
            <w:shd w:val="clear" w:color="auto" w:fill="F5F8FC"/>
            <w:tcMar>
              <w:top w:w="120" w:type="dxa"/>
              <w:left w:w="120" w:type="dxa"/>
              <w:bottom w:w="120" w:type="dxa"/>
              <w:right w:w="120" w:type="dxa"/>
            </w:tcMar>
            <w:vAlign w:val="center"/>
          </w:tcPr>
          <w:p w14:paraId="395BC2FF" w14:textId="77777777" w:rsidR="009F7118" w:rsidRDefault="00000000">
            <w:pPr>
              <w:spacing w:after="20"/>
            </w:pPr>
            <w:r>
              <w:rPr>
                <w:sz w:val="17"/>
              </w:rPr>
              <w:t>Present the evidence, proposed treatment, and financial implications to an authorized reviewer for final disposition.</w:t>
            </w:r>
          </w:p>
        </w:tc>
      </w:tr>
      <w:tr w:rsidR="009F7118" w14:paraId="0EA56298" w14:textId="77777777">
        <w:trPr>
          <w:jc w:val="center"/>
        </w:trPr>
        <w:tc>
          <w:tcPr>
            <w:tcW w:w="576" w:type="dxa"/>
            <w:shd w:val="clear" w:color="auto" w:fill="FFFFFF"/>
            <w:tcMar>
              <w:top w:w="120" w:type="dxa"/>
              <w:left w:w="120" w:type="dxa"/>
              <w:bottom w:w="120" w:type="dxa"/>
              <w:right w:w="120" w:type="dxa"/>
            </w:tcMar>
            <w:vAlign w:val="center"/>
          </w:tcPr>
          <w:p w14:paraId="17E0CA05" w14:textId="77777777" w:rsidR="009F7118" w:rsidRDefault="00000000">
            <w:pPr>
              <w:spacing w:after="20"/>
            </w:pPr>
            <w:r>
              <w:rPr>
                <w:sz w:val="17"/>
              </w:rPr>
              <w:t>8</w:t>
            </w:r>
          </w:p>
        </w:tc>
        <w:tc>
          <w:tcPr>
            <w:tcW w:w="2304" w:type="dxa"/>
            <w:shd w:val="clear" w:color="auto" w:fill="FFFFFF"/>
            <w:tcMar>
              <w:top w:w="120" w:type="dxa"/>
              <w:left w:w="120" w:type="dxa"/>
              <w:bottom w:w="120" w:type="dxa"/>
              <w:right w:w="120" w:type="dxa"/>
            </w:tcMar>
            <w:vAlign w:val="center"/>
          </w:tcPr>
          <w:p w14:paraId="25B2D778" w14:textId="77777777" w:rsidR="009F7118" w:rsidRDefault="00000000">
            <w:pPr>
              <w:spacing w:after="20"/>
            </w:pPr>
            <w:r>
              <w:rPr>
                <w:sz w:val="17"/>
              </w:rPr>
              <w:t>CONTROLLED OUTPUT</w:t>
            </w:r>
          </w:p>
        </w:tc>
        <w:tc>
          <w:tcPr>
            <w:tcW w:w="6912" w:type="dxa"/>
            <w:shd w:val="clear" w:color="auto" w:fill="FFFFFF"/>
            <w:tcMar>
              <w:top w:w="120" w:type="dxa"/>
              <w:left w:w="120" w:type="dxa"/>
              <w:bottom w:w="120" w:type="dxa"/>
              <w:right w:w="120" w:type="dxa"/>
            </w:tcMar>
            <w:vAlign w:val="center"/>
          </w:tcPr>
          <w:p w14:paraId="5900CC2B" w14:textId="77777777" w:rsidR="009F7118" w:rsidRDefault="00000000">
            <w:pPr>
              <w:spacing w:after="20"/>
            </w:pPr>
            <w:r>
              <w:rPr>
                <w:sz w:val="17"/>
              </w:rPr>
              <w:t>After approval, release, modify, reject, split, or return the billing entry and preserve the complete audit record.</w:t>
            </w:r>
          </w:p>
        </w:tc>
      </w:tr>
    </w:tbl>
    <w:p w14:paraId="79C413F1" w14:textId="77777777" w:rsidR="009F7118" w:rsidRDefault="009F7118">
      <w:pPr>
        <w:spacing w:after="20"/>
      </w:pPr>
    </w:p>
    <w:p w14:paraId="723E03A0" w14:textId="77777777" w:rsidR="009F7118" w:rsidRDefault="00000000">
      <w:pPr>
        <w:pStyle w:val="Heading2"/>
      </w:pPr>
      <w:r>
        <w:t>The Deterministic Boundary</w:t>
      </w:r>
    </w:p>
    <w:p w14:paraId="501E13B9" w14:textId="77777777" w:rsidR="009F7118" w:rsidRDefault="00000000">
      <w:pPr>
        <w:spacing w:after="120" w:line="269" w:lineRule="auto"/>
      </w:pPr>
      <w:r>
        <w:t>The deterministic layer is the primary control surface. It handles what software can evaluate consistently and explainably: payload validity, required context, hard prohibitions, numerical or authorization conditions, and safe routing. The rules must be policy-configurable because client, matter, engagement, timekeeper, and approved-arrangement context may differ.</w:t>
      </w:r>
    </w:p>
    <w:p w14:paraId="2CE79120" w14:textId="77777777" w:rsidR="009F7118" w:rsidRDefault="009F7118">
      <w:pPr>
        <w:sectPr w:rsidR="009F7118">
          <w:headerReference w:type="default" r:id="rId8"/>
          <w:footerReference w:type="default" r:id="rId9"/>
          <w:pgSz w:w="12240" w:h="15840"/>
          <w:pgMar w:top="936" w:right="1037" w:bottom="936" w:left="1037" w:header="720" w:footer="720" w:gutter="0"/>
          <w:cols w:space="720"/>
          <w:docGrid w:linePitch="360"/>
        </w:sectPr>
      </w:pPr>
    </w:p>
    <w:p w14:paraId="4AB74833" w14:textId="77777777" w:rsidR="009F7118" w:rsidRDefault="00000000">
      <w:pPr>
        <w:jc w:val="center"/>
      </w:pPr>
      <w:r>
        <w:rPr>
          <w:b/>
          <w:color w:val="12233F"/>
          <w:sz w:val="36"/>
        </w:rPr>
        <w:t>Deterministic Billing Compliance Engine</w:t>
      </w:r>
    </w:p>
    <w:p w14:paraId="7459A29E" w14:textId="77777777" w:rsidR="009F7118" w:rsidRDefault="00000000">
      <w:pPr>
        <w:spacing w:after="100"/>
        <w:jc w:val="center"/>
      </w:pPr>
      <w:r>
        <w:rPr>
          <w:i/>
          <w:color w:val="5E6A78"/>
          <w:sz w:val="18"/>
        </w:rPr>
        <w:t>Rule-driven validation, adjustment, escalation, and traceable output</w:t>
      </w:r>
    </w:p>
    <w:p w14:paraId="2DC07C4A" w14:textId="77777777" w:rsidR="009F7118" w:rsidRDefault="00000000">
      <w:pPr>
        <w:jc w:val="center"/>
      </w:pPr>
      <w:r>
        <w:rPr>
          <w:noProof/>
        </w:rPr>
        <w:drawing>
          <wp:inline distT="0" distB="0" distL="0" distR="0" wp14:anchorId="63C6EDF3" wp14:editId="61A35FBD">
            <wp:extent cx="8366760" cy="5577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8e401a168.png"/>
                    <pic:cNvPicPr/>
                  </pic:nvPicPr>
                  <pic:blipFill>
                    <a:blip r:embed="rId10"/>
                    <a:stretch>
                      <a:fillRect/>
                    </a:stretch>
                  </pic:blipFill>
                  <pic:spPr>
                    <a:xfrm>
                      <a:off x="0" y="0"/>
                      <a:ext cx="8366760" cy="5577840"/>
                    </a:xfrm>
                    <a:prstGeom prst="rect">
                      <a:avLst/>
                    </a:prstGeom>
                  </pic:spPr>
                </pic:pic>
              </a:graphicData>
            </a:graphic>
          </wp:inline>
        </w:drawing>
      </w:r>
    </w:p>
    <w:p w14:paraId="4C6CE425" w14:textId="77777777" w:rsidR="009F7118" w:rsidRDefault="00000000">
      <w:pPr>
        <w:jc w:val="center"/>
      </w:pPr>
      <w:r>
        <w:rPr>
          <w:i/>
          <w:color w:val="5E6A78"/>
          <w:sz w:val="16"/>
        </w:rPr>
        <w:t>Illustrative implementation flow. Example values are presented to demonstrate engine behavior, not operating results.</w:t>
      </w:r>
    </w:p>
    <w:p w14:paraId="0879414D" w14:textId="77777777" w:rsidR="009F7118" w:rsidRDefault="009F7118">
      <w:pPr>
        <w:sectPr w:rsidR="009F7118">
          <w:pgSz w:w="15840" w:h="12240" w:orient="landscape"/>
          <w:pgMar w:top="648" w:right="648" w:bottom="648" w:left="648" w:header="720" w:footer="720" w:gutter="0"/>
          <w:cols w:space="720"/>
          <w:docGrid w:linePitch="360"/>
        </w:sectPr>
      </w:pPr>
    </w:p>
    <w:p w14:paraId="2ECAE2FE" w14:textId="77777777" w:rsidR="009F7118" w:rsidRDefault="00000000">
      <w:pPr>
        <w:pStyle w:val="Heading1"/>
      </w:pPr>
      <w:r>
        <w:t>The Multi-Agent Exception Boundary</w:t>
      </w:r>
    </w:p>
    <w:p w14:paraId="3872F0B5" w14:textId="77777777" w:rsidR="009F7118" w:rsidRDefault="00000000">
      <w:pPr>
        <w:spacing w:after="120" w:line="269" w:lineRule="auto"/>
      </w:pPr>
      <w:r>
        <w:t>Quarantine is not failure. It is a controlled state for transactions that deserve more scrutiny. When deterministic controls identify ambiguity or cannot resolve a semantic issue safely, DRE invokes its multi-agent review sequence.</w:t>
      </w:r>
    </w:p>
    <w:p w14:paraId="2C891FB4" w14:textId="77777777" w:rsidR="009F7118" w:rsidRDefault="00000000">
      <w:pPr>
        <w:pStyle w:val="Heading2"/>
      </w:pPr>
      <w:r>
        <w:t>Three Agents, Three Rounds, One Referee Recommendation</w:t>
      </w:r>
    </w:p>
    <w:p w14:paraId="23920EF7" w14:textId="77777777" w:rsidR="009F7118" w:rsidRDefault="00000000">
      <w:pPr>
        <w:spacing w:after="120" w:line="269" w:lineRule="auto"/>
      </w:pPr>
      <w:r>
        <w:t>Each quarantined item is evaluated by three differentiated agents. That three-way review is repeated three times. The system records each agent’s conclusion and reasoning, produces a result for each round, and sends the three round-level outcomes to a referee node for consolidation.</w:t>
      </w:r>
    </w:p>
    <w:tbl>
      <w:tblPr>
        <w:tblStyle w:val="TableGrid"/>
        <w:tblW w:w="0" w:type="auto"/>
        <w:jc w:val="center"/>
        <w:tblLayout w:type="fixed"/>
        <w:tblLook w:val="04A0" w:firstRow="1" w:lastRow="0" w:firstColumn="1" w:lastColumn="0" w:noHBand="0" w:noVBand="1"/>
      </w:tblPr>
      <w:tblGrid>
        <w:gridCol w:w="1512"/>
        <w:gridCol w:w="2736"/>
        <w:gridCol w:w="2736"/>
        <w:gridCol w:w="2736"/>
      </w:tblGrid>
      <w:tr w:rsidR="009F7118" w14:paraId="3C4883B4" w14:textId="77777777">
        <w:trPr>
          <w:jc w:val="center"/>
        </w:trPr>
        <w:tc>
          <w:tcPr>
            <w:tcW w:w="1512" w:type="dxa"/>
            <w:shd w:val="clear" w:color="auto" w:fill="12233F"/>
            <w:tcMar>
              <w:top w:w="120" w:type="dxa"/>
              <w:left w:w="120" w:type="dxa"/>
              <w:bottom w:w="120" w:type="dxa"/>
              <w:right w:w="120" w:type="dxa"/>
            </w:tcMar>
          </w:tcPr>
          <w:p w14:paraId="3554D3A7" w14:textId="77777777" w:rsidR="009F7118" w:rsidRDefault="00000000">
            <w:pPr>
              <w:jc w:val="center"/>
            </w:pPr>
            <w:r>
              <w:rPr>
                <w:b/>
                <w:color w:val="FFFFFF"/>
                <w:sz w:val="18"/>
              </w:rPr>
              <w:t>Round</w:t>
            </w:r>
          </w:p>
        </w:tc>
        <w:tc>
          <w:tcPr>
            <w:tcW w:w="2736" w:type="dxa"/>
            <w:shd w:val="clear" w:color="auto" w:fill="12233F"/>
            <w:tcMar>
              <w:top w:w="120" w:type="dxa"/>
              <w:left w:w="120" w:type="dxa"/>
              <w:bottom w:w="120" w:type="dxa"/>
              <w:right w:w="120" w:type="dxa"/>
            </w:tcMar>
          </w:tcPr>
          <w:p w14:paraId="124870CF" w14:textId="77777777" w:rsidR="009F7118" w:rsidRDefault="00000000">
            <w:pPr>
              <w:jc w:val="center"/>
            </w:pPr>
            <w:r>
              <w:rPr>
                <w:b/>
                <w:color w:val="FFFFFF"/>
                <w:sz w:val="18"/>
              </w:rPr>
              <w:t>Agent A</w:t>
            </w:r>
          </w:p>
        </w:tc>
        <w:tc>
          <w:tcPr>
            <w:tcW w:w="2736" w:type="dxa"/>
            <w:shd w:val="clear" w:color="auto" w:fill="12233F"/>
            <w:tcMar>
              <w:top w:w="120" w:type="dxa"/>
              <w:left w:w="120" w:type="dxa"/>
              <w:bottom w:w="120" w:type="dxa"/>
              <w:right w:w="120" w:type="dxa"/>
            </w:tcMar>
          </w:tcPr>
          <w:p w14:paraId="001C5F17" w14:textId="77777777" w:rsidR="009F7118" w:rsidRDefault="00000000">
            <w:pPr>
              <w:jc w:val="center"/>
            </w:pPr>
            <w:r>
              <w:rPr>
                <w:b/>
                <w:color w:val="FFFFFF"/>
                <w:sz w:val="18"/>
              </w:rPr>
              <w:t>Agent B</w:t>
            </w:r>
          </w:p>
        </w:tc>
        <w:tc>
          <w:tcPr>
            <w:tcW w:w="2736" w:type="dxa"/>
            <w:shd w:val="clear" w:color="auto" w:fill="12233F"/>
            <w:tcMar>
              <w:top w:w="120" w:type="dxa"/>
              <w:left w:w="120" w:type="dxa"/>
              <w:bottom w:w="120" w:type="dxa"/>
              <w:right w:w="120" w:type="dxa"/>
            </w:tcMar>
          </w:tcPr>
          <w:p w14:paraId="5B789712" w14:textId="77777777" w:rsidR="009F7118" w:rsidRDefault="00000000">
            <w:pPr>
              <w:jc w:val="center"/>
            </w:pPr>
            <w:r>
              <w:rPr>
                <w:b/>
                <w:color w:val="FFFFFF"/>
                <w:sz w:val="18"/>
              </w:rPr>
              <w:t>Agent C</w:t>
            </w:r>
          </w:p>
        </w:tc>
      </w:tr>
      <w:tr w:rsidR="009F7118" w14:paraId="1CE2F708" w14:textId="77777777">
        <w:trPr>
          <w:jc w:val="center"/>
        </w:trPr>
        <w:tc>
          <w:tcPr>
            <w:tcW w:w="1512" w:type="dxa"/>
            <w:shd w:val="clear" w:color="auto" w:fill="F5F8FC"/>
            <w:tcMar>
              <w:top w:w="120" w:type="dxa"/>
              <w:left w:w="120" w:type="dxa"/>
              <w:bottom w:w="120" w:type="dxa"/>
              <w:right w:w="120" w:type="dxa"/>
            </w:tcMar>
            <w:vAlign w:val="center"/>
          </w:tcPr>
          <w:p w14:paraId="44F16369" w14:textId="77777777" w:rsidR="009F7118" w:rsidRDefault="00000000">
            <w:pPr>
              <w:spacing w:after="20"/>
            </w:pPr>
            <w:r>
              <w:rPr>
                <w:sz w:val="17"/>
              </w:rPr>
              <w:t>ROUND 1</w:t>
            </w:r>
          </w:p>
        </w:tc>
        <w:tc>
          <w:tcPr>
            <w:tcW w:w="2736" w:type="dxa"/>
            <w:shd w:val="clear" w:color="auto" w:fill="F5F8FC"/>
            <w:tcMar>
              <w:top w:w="120" w:type="dxa"/>
              <w:left w:w="120" w:type="dxa"/>
              <w:bottom w:w="120" w:type="dxa"/>
              <w:right w:w="120" w:type="dxa"/>
            </w:tcMar>
            <w:vAlign w:val="center"/>
          </w:tcPr>
          <w:p w14:paraId="7B7F96DF" w14:textId="77777777" w:rsidR="009F7118" w:rsidRDefault="00000000">
            <w:pPr>
              <w:spacing w:after="20"/>
            </w:pPr>
            <w:r>
              <w:rPr>
                <w:sz w:val="17"/>
              </w:rPr>
              <w:t>Independent evaluation</w:t>
            </w:r>
            <w:r>
              <w:rPr>
                <w:sz w:val="17"/>
              </w:rPr>
              <w:br/>
              <w:t>Vote • rationale • evidence</w:t>
            </w:r>
          </w:p>
        </w:tc>
        <w:tc>
          <w:tcPr>
            <w:tcW w:w="2736" w:type="dxa"/>
            <w:shd w:val="clear" w:color="auto" w:fill="F5F8FC"/>
            <w:tcMar>
              <w:top w:w="120" w:type="dxa"/>
              <w:left w:w="120" w:type="dxa"/>
              <w:bottom w:w="120" w:type="dxa"/>
              <w:right w:w="120" w:type="dxa"/>
            </w:tcMar>
            <w:vAlign w:val="center"/>
          </w:tcPr>
          <w:p w14:paraId="68CBE025" w14:textId="77777777" w:rsidR="009F7118" w:rsidRDefault="00000000">
            <w:pPr>
              <w:spacing w:after="20"/>
            </w:pPr>
            <w:r>
              <w:rPr>
                <w:sz w:val="17"/>
              </w:rPr>
              <w:t>Independent evaluation</w:t>
            </w:r>
            <w:r>
              <w:rPr>
                <w:sz w:val="17"/>
              </w:rPr>
              <w:br/>
              <w:t>Vote • rationale • evidence</w:t>
            </w:r>
          </w:p>
        </w:tc>
        <w:tc>
          <w:tcPr>
            <w:tcW w:w="2736" w:type="dxa"/>
            <w:shd w:val="clear" w:color="auto" w:fill="F5F8FC"/>
            <w:tcMar>
              <w:top w:w="120" w:type="dxa"/>
              <w:left w:w="120" w:type="dxa"/>
              <w:bottom w:w="120" w:type="dxa"/>
              <w:right w:w="120" w:type="dxa"/>
            </w:tcMar>
            <w:vAlign w:val="center"/>
          </w:tcPr>
          <w:p w14:paraId="7062E473" w14:textId="77777777" w:rsidR="009F7118" w:rsidRDefault="00000000">
            <w:pPr>
              <w:spacing w:after="20"/>
            </w:pPr>
            <w:r>
              <w:rPr>
                <w:sz w:val="17"/>
              </w:rPr>
              <w:t>Independent evaluation</w:t>
            </w:r>
            <w:r>
              <w:rPr>
                <w:sz w:val="17"/>
              </w:rPr>
              <w:br/>
              <w:t>Vote • rationale • evidence</w:t>
            </w:r>
          </w:p>
        </w:tc>
      </w:tr>
      <w:tr w:rsidR="009F7118" w14:paraId="5324BB45" w14:textId="77777777">
        <w:trPr>
          <w:jc w:val="center"/>
        </w:trPr>
        <w:tc>
          <w:tcPr>
            <w:tcW w:w="1512" w:type="dxa"/>
            <w:shd w:val="clear" w:color="auto" w:fill="FFFFFF"/>
            <w:tcMar>
              <w:top w:w="120" w:type="dxa"/>
              <w:left w:w="120" w:type="dxa"/>
              <w:bottom w:w="120" w:type="dxa"/>
              <w:right w:w="120" w:type="dxa"/>
            </w:tcMar>
            <w:vAlign w:val="center"/>
          </w:tcPr>
          <w:p w14:paraId="4A2BAD12" w14:textId="77777777" w:rsidR="009F7118" w:rsidRDefault="00000000">
            <w:pPr>
              <w:spacing w:after="20"/>
            </w:pPr>
            <w:r>
              <w:rPr>
                <w:sz w:val="17"/>
              </w:rPr>
              <w:t>ROUND 2</w:t>
            </w:r>
          </w:p>
        </w:tc>
        <w:tc>
          <w:tcPr>
            <w:tcW w:w="2736" w:type="dxa"/>
            <w:shd w:val="clear" w:color="auto" w:fill="FFFFFF"/>
            <w:tcMar>
              <w:top w:w="120" w:type="dxa"/>
              <w:left w:w="120" w:type="dxa"/>
              <w:bottom w:w="120" w:type="dxa"/>
              <w:right w:w="120" w:type="dxa"/>
            </w:tcMar>
            <w:vAlign w:val="center"/>
          </w:tcPr>
          <w:p w14:paraId="089B6A1A" w14:textId="77777777" w:rsidR="009F7118" w:rsidRDefault="00000000">
            <w:pPr>
              <w:spacing w:after="20"/>
            </w:pPr>
            <w:r>
              <w:rPr>
                <w:sz w:val="17"/>
              </w:rPr>
              <w:t>Independent evaluation</w:t>
            </w:r>
            <w:r>
              <w:rPr>
                <w:sz w:val="17"/>
              </w:rPr>
              <w:br/>
              <w:t>Vote • rationale • evidence</w:t>
            </w:r>
          </w:p>
        </w:tc>
        <w:tc>
          <w:tcPr>
            <w:tcW w:w="2736" w:type="dxa"/>
            <w:shd w:val="clear" w:color="auto" w:fill="FFFFFF"/>
            <w:tcMar>
              <w:top w:w="120" w:type="dxa"/>
              <w:left w:w="120" w:type="dxa"/>
              <w:bottom w:w="120" w:type="dxa"/>
              <w:right w:w="120" w:type="dxa"/>
            </w:tcMar>
            <w:vAlign w:val="center"/>
          </w:tcPr>
          <w:p w14:paraId="4D4223C3" w14:textId="77777777" w:rsidR="009F7118" w:rsidRDefault="00000000">
            <w:pPr>
              <w:spacing w:after="20"/>
            </w:pPr>
            <w:r>
              <w:rPr>
                <w:sz w:val="17"/>
              </w:rPr>
              <w:t>Independent evaluation</w:t>
            </w:r>
            <w:r>
              <w:rPr>
                <w:sz w:val="17"/>
              </w:rPr>
              <w:br/>
              <w:t>Vote • rationale • evidence</w:t>
            </w:r>
          </w:p>
        </w:tc>
        <w:tc>
          <w:tcPr>
            <w:tcW w:w="2736" w:type="dxa"/>
            <w:shd w:val="clear" w:color="auto" w:fill="FFFFFF"/>
            <w:tcMar>
              <w:top w:w="120" w:type="dxa"/>
              <w:left w:w="120" w:type="dxa"/>
              <w:bottom w:w="120" w:type="dxa"/>
              <w:right w:w="120" w:type="dxa"/>
            </w:tcMar>
            <w:vAlign w:val="center"/>
          </w:tcPr>
          <w:p w14:paraId="7D62D224" w14:textId="77777777" w:rsidR="009F7118" w:rsidRDefault="00000000">
            <w:pPr>
              <w:spacing w:after="20"/>
            </w:pPr>
            <w:r>
              <w:rPr>
                <w:sz w:val="17"/>
              </w:rPr>
              <w:t>Independent evaluation</w:t>
            </w:r>
            <w:r>
              <w:rPr>
                <w:sz w:val="17"/>
              </w:rPr>
              <w:br/>
              <w:t>Vote • rationale • evidence</w:t>
            </w:r>
          </w:p>
        </w:tc>
      </w:tr>
      <w:tr w:rsidR="009F7118" w14:paraId="7885C30F" w14:textId="77777777">
        <w:trPr>
          <w:jc w:val="center"/>
        </w:trPr>
        <w:tc>
          <w:tcPr>
            <w:tcW w:w="1512" w:type="dxa"/>
            <w:shd w:val="clear" w:color="auto" w:fill="F5F8FC"/>
            <w:tcMar>
              <w:top w:w="120" w:type="dxa"/>
              <w:left w:w="120" w:type="dxa"/>
              <w:bottom w:w="120" w:type="dxa"/>
              <w:right w:w="120" w:type="dxa"/>
            </w:tcMar>
            <w:vAlign w:val="center"/>
          </w:tcPr>
          <w:p w14:paraId="43311A36" w14:textId="77777777" w:rsidR="009F7118" w:rsidRDefault="00000000">
            <w:pPr>
              <w:spacing w:after="20"/>
            </w:pPr>
            <w:r>
              <w:rPr>
                <w:sz w:val="17"/>
              </w:rPr>
              <w:t>ROUND 3</w:t>
            </w:r>
          </w:p>
        </w:tc>
        <w:tc>
          <w:tcPr>
            <w:tcW w:w="2736" w:type="dxa"/>
            <w:shd w:val="clear" w:color="auto" w:fill="F5F8FC"/>
            <w:tcMar>
              <w:top w:w="120" w:type="dxa"/>
              <w:left w:w="120" w:type="dxa"/>
              <w:bottom w:w="120" w:type="dxa"/>
              <w:right w:w="120" w:type="dxa"/>
            </w:tcMar>
            <w:vAlign w:val="center"/>
          </w:tcPr>
          <w:p w14:paraId="4DC762C8" w14:textId="77777777" w:rsidR="009F7118" w:rsidRDefault="00000000">
            <w:pPr>
              <w:spacing w:after="20"/>
            </w:pPr>
            <w:r>
              <w:rPr>
                <w:sz w:val="17"/>
              </w:rPr>
              <w:t>Independent evaluation</w:t>
            </w:r>
            <w:r>
              <w:rPr>
                <w:sz w:val="17"/>
              </w:rPr>
              <w:br/>
              <w:t>Vote • rationale • evidence</w:t>
            </w:r>
          </w:p>
        </w:tc>
        <w:tc>
          <w:tcPr>
            <w:tcW w:w="2736" w:type="dxa"/>
            <w:shd w:val="clear" w:color="auto" w:fill="F5F8FC"/>
            <w:tcMar>
              <w:top w:w="120" w:type="dxa"/>
              <w:left w:w="120" w:type="dxa"/>
              <w:bottom w:w="120" w:type="dxa"/>
              <w:right w:w="120" w:type="dxa"/>
            </w:tcMar>
            <w:vAlign w:val="center"/>
          </w:tcPr>
          <w:p w14:paraId="75257256" w14:textId="77777777" w:rsidR="009F7118" w:rsidRDefault="00000000">
            <w:pPr>
              <w:spacing w:after="20"/>
            </w:pPr>
            <w:r>
              <w:rPr>
                <w:sz w:val="17"/>
              </w:rPr>
              <w:t>Independent evaluation</w:t>
            </w:r>
            <w:r>
              <w:rPr>
                <w:sz w:val="17"/>
              </w:rPr>
              <w:br/>
              <w:t>Vote • rationale • evidence</w:t>
            </w:r>
          </w:p>
        </w:tc>
        <w:tc>
          <w:tcPr>
            <w:tcW w:w="2736" w:type="dxa"/>
            <w:shd w:val="clear" w:color="auto" w:fill="F5F8FC"/>
            <w:tcMar>
              <w:top w:w="120" w:type="dxa"/>
              <w:left w:w="120" w:type="dxa"/>
              <w:bottom w:w="120" w:type="dxa"/>
              <w:right w:w="120" w:type="dxa"/>
            </w:tcMar>
            <w:vAlign w:val="center"/>
          </w:tcPr>
          <w:p w14:paraId="38A04BB9" w14:textId="77777777" w:rsidR="009F7118" w:rsidRDefault="00000000">
            <w:pPr>
              <w:spacing w:after="20"/>
            </w:pPr>
            <w:r>
              <w:rPr>
                <w:sz w:val="17"/>
              </w:rPr>
              <w:t>Independent evaluation</w:t>
            </w:r>
            <w:r>
              <w:rPr>
                <w:sz w:val="17"/>
              </w:rPr>
              <w:br/>
              <w:t>Vote • rationale • evidence</w:t>
            </w:r>
          </w:p>
        </w:tc>
      </w:tr>
    </w:tbl>
    <w:p w14:paraId="3E9901E6" w14:textId="77777777" w:rsidR="009F7118" w:rsidRDefault="009F7118">
      <w:pPr>
        <w:spacing w:after="20"/>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259"/>
        <w:gridCol w:w="9720"/>
      </w:tblGrid>
      <w:tr w:rsidR="009F7118" w14:paraId="7E5C953A" w14:textId="77777777">
        <w:trPr>
          <w:jc w:val="center"/>
        </w:trPr>
        <w:tc>
          <w:tcPr>
            <w:tcW w:w="259" w:type="dxa"/>
            <w:shd w:val="clear" w:color="auto" w:fill="6F42C1"/>
          </w:tcPr>
          <w:p w14:paraId="0EEA9A51" w14:textId="77777777" w:rsidR="009F7118" w:rsidRDefault="009F7118"/>
        </w:tc>
        <w:tc>
          <w:tcPr>
            <w:tcW w:w="9720" w:type="dxa"/>
            <w:shd w:val="clear" w:color="auto" w:fill="F3EEFB"/>
            <w:tcMar>
              <w:top w:w="160" w:type="dxa"/>
              <w:left w:w="160" w:type="dxa"/>
              <w:bottom w:w="160" w:type="dxa"/>
              <w:right w:w="160" w:type="dxa"/>
            </w:tcMar>
          </w:tcPr>
          <w:p w14:paraId="592ECD05" w14:textId="77777777" w:rsidR="009F7118" w:rsidRDefault="00000000">
            <w:pPr>
              <w:spacing w:after="60"/>
            </w:pPr>
            <w:r>
              <w:rPr>
                <w:b/>
                <w:color w:val="12233F"/>
                <w:sz w:val="22"/>
              </w:rPr>
              <w:t>REFEREE NODE</w:t>
            </w:r>
          </w:p>
          <w:p w14:paraId="737C3079" w14:textId="77777777" w:rsidR="009F7118" w:rsidRDefault="00000000">
            <w:pPr>
              <w:spacing w:after="40" w:line="259" w:lineRule="auto"/>
            </w:pPr>
            <w:r>
              <w:t>The node compares the three round-level outcomes, identifies agreement and disagreement, and produces a recommendation such as approve, modify, split, reject, request support, or escalate. The output remains pending until an authorized human reviewer acts.</w:t>
            </w:r>
          </w:p>
        </w:tc>
      </w:tr>
    </w:tbl>
    <w:p w14:paraId="40D5DB44" w14:textId="77777777" w:rsidR="009F7118" w:rsidRDefault="00000000">
      <w:pPr>
        <w:pStyle w:val="Heading2"/>
      </w:pPr>
      <w:r>
        <w:t>Why Repetition Matters</w:t>
      </w:r>
    </w:p>
    <w:p w14:paraId="674989A8" w14:textId="77777777" w:rsidR="009F7118" w:rsidRDefault="00000000">
      <w:pPr>
        <w:pStyle w:val="ListBullet"/>
        <w:spacing w:after="60"/>
        <w:ind w:left="317"/>
      </w:pPr>
      <w:r>
        <w:t>Separates the decision record from a single model response.</w:t>
      </w:r>
    </w:p>
    <w:p w14:paraId="0B32D697" w14:textId="77777777" w:rsidR="009F7118" w:rsidRDefault="00000000">
      <w:pPr>
        <w:pStyle w:val="ListBullet"/>
        <w:spacing w:after="60"/>
        <w:ind w:left="317"/>
      </w:pPr>
      <w:r>
        <w:t>Exposes disagreement instead of hiding it inside a polished answer.</w:t>
      </w:r>
    </w:p>
    <w:p w14:paraId="385F0931" w14:textId="77777777" w:rsidR="009F7118" w:rsidRDefault="00000000">
      <w:pPr>
        <w:pStyle w:val="ListBullet"/>
        <w:spacing w:after="60"/>
        <w:ind w:left="317"/>
      </w:pPr>
      <w:r>
        <w:t>Creates a richer basis for escalation when evidence is mixed.</w:t>
      </w:r>
    </w:p>
    <w:p w14:paraId="30F06854" w14:textId="77777777" w:rsidR="009F7118" w:rsidRDefault="00000000">
      <w:pPr>
        <w:pStyle w:val="ListBullet"/>
        <w:spacing w:after="60"/>
        <w:ind w:left="317"/>
      </w:pPr>
      <w:r>
        <w:t>Preserves the difference between deterministic findings, model judgments, referee synthesis, and human authority.</w:t>
      </w:r>
    </w:p>
    <w:p w14:paraId="11DF3BF4" w14:textId="77777777" w:rsidR="009F7118" w:rsidRDefault="00000000">
      <w:pPr>
        <w:pStyle w:val="Heading2"/>
      </w:pPr>
      <w:r>
        <w:t>What AI Does and Does Not Do</w:t>
      </w:r>
    </w:p>
    <w:tbl>
      <w:tblPr>
        <w:tblStyle w:val="TableGrid"/>
        <w:tblW w:w="0" w:type="auto"/>
        <w:jc w:val="center"/>
        <w:tblLayout w:type="fixed"/>
        <w:tblLook w:val="04A0" w:firstRow="1" w:lastRow="0" w:firstColumn="1" w:lastColumn="0" w:noHBand="0" w:noVBand="1"/>
      </w:tblPr>
      <w:tblGrid>
        <w:gridCol w:w="4824"/>
        <w:gridCol w:w="4824"/>
      </w:tblGrid>
      <w:tr w:rsidR="009F7118" w14:paraId="68E0771C" w14:textId="77777777">
        <w:trPr>
          <w:jc w:val="center"/>
        </w:trPr>
        <w:tc>
          <w:tcPr>
            <w:tcW w:w="4824" w:type="dxa"/>
            <w:shd w:val="clear" w:color="auto" w:fill="12233F"/>
            <w:tcMar>
              <w:top w:w="120" w:type="dxa"/>
              <w:left w:w="120" w:type="dxa"/>
              <w:bottom w:w="120" w:type="dxa"/>
              <w:right w:w="120" w:type="dxa"/>
            </w:tcMar>
          </w:tcPr>
          <w:p w14:paraId="3C0BC686" w14:textId="77777777" w:rsidR="009F7118" w:rsidRDefault="00000000">
            <w:pPr>
              <w:jc w:val="center"/>
            </w:pPr>
            <w:r>
              <w:rPr>
                <w:b/>
                <w:color w:val="FFFFFF"/>
                <w:sz w:val="18"/>
              </w:rPr>
              <w:t>AI May Assist With</w:t>
            </w:r>
          </w:p>
        </w:tc>
        <w:tc>
          <w:tcPr>
            <w:tcW w:w="4824" w:type="dxa"/>
            <w:shd w:val="clear" w:color="auto" w:fill="12233F"/>
            <w:tcMar>
              <w:top w:w="120" w:type="dxa"/>
              <w:left w:w="120" w:type="dxa"/>
              <w:bottom w:w="120" w:type="dxa"/>
              <w:right w:w="120" w:type="dxa"/>
            </w:tcMar>
          </w:tcPr>
          <w:p w14:paraId="2ACBD614" w14:textId="77777777" w:rsidR="009F7118" w:rsidRDefault="00000000">
            <w:pPr>
              <w:jc w:val="center"/>
            </w:pPr>
            <w:r>
              <w:rPr>
                <w:b/>
                <w:color w:val="FFFFFF"/>
                <w:sz w:val="18"/>
              </w:rPr>
              <w:t>AI Does Not Replace</w:t>
            </w:r>
          </w:p>
        </w:tc>
      </w:tr>
      <w:tr w:rsidR="009F7118" w14:paraId="2794808C" w14:textId="77777777">
        <w:trPr>
          <w:jc w:val="center"/>
        </w:trPr>
        <w:tc>
          <w:tcPr>
            <w:tcW w:w="4824" w:type="dxa"/>
            <w:shd w:val="clear" w:color="auto" w:fill="F5F8FC"/>
            <w:tcMar>
              <w:top w:w="120" w:type="dxa"/>
              <w:left w:w="120" w:type="dxa"/>
              <w:bottom w:w="120" w:type="dxa"/>
              <w:right w:w="120" w:type="dxa"/>
            </w:tcMar>
            <w:vAlign w:val="center"/>
          </w:tcPr>
          <w:p w14:paraId="06464FB5" w14:textId="77777777" w:rsidR="009F7118" w:rsidRDefault="00000000">
            <w:pPr>
              <w:spacing w:after="20"/>
            </w:pPr>
            <w:r>
              <w:rPr>
                <w:sz w:val="17"/>
              </w:rPr>
              <w:t>Interpreting narrative meaning in quarantined entries</w:t>
            </w:r>
          </w:p>
        </w:tc>
        <w:tc>
          <w:tcPr>
            <w:tcW w:w="4824" w:type="dxa"/>
            <w:shd w:val="clear" w:color="auto" w:fill="F5F8FC"/>
            <w:tcMar>
              <w:top w:w="120" w:type="dxa"/>
              <w:left w:w="120" w:type="dxa"/>
              <w:bottom w:w="120" w:type="dxa"/>
              <w:right w:w="120" w:type="dxa"/>
            </w:tcMar>
            <w:vAlign w:val="center"/>
          </w:tcPr>
          <w:p w14:paraId="526C80C2" w14:textId="77777777" w:rsidR="009F7118" w:rsidRDefault="00000000">
            <w:pPr>
              <w:spacing w:after="20"/>
            </w:pPr>
            <w:r>
              <w:rPr>
                <w:sz w:val="17"/>
              </w:rPr>
              <w:t>Schema validation and hard policy controls</w:t>
            </w:r>
          </w:p>
        </w:tc>
      </w:tr>
      <w:tr w:rsidR="009F7118" w14:paraId="1DF237EE" w14:textId="77777777">
        <w:trPr>
          <w:jc w:val="center"/>
        </w:trPr>
        <w:tc>
          <w:tcPr>
            <w:tcW w:w="4824" w:type="dxa"/>
            <w:shd w:val="clear" w:color="auto" w:fill="FFFFFF"/>
            <w:tcMar>
              <w:top w:w="120" w:type="dxa"/>
              <w:left w:w="120" w:type="dxa"/>
              <w:bottom w:w="120" w:type="dxa"/>
              <w:right w:w="120" w:type="dxa"/>
            </w:tcMar>
            <w:vAlign w:val="center"/>
          </w:tcPr>
          <w:p w14:paraId="07144E2F" w14:textId="77777777" w:rsidR="009F7118" w:rsidRDefault="00000000">
            <w:pPr>
              <w:spacing w:after="20"/>
            </w:pPr>
            <w:r>
              <w:rPr>
                <w:sz w:val="17"/>
              </w:rPr>
              <w:t>Detecting possible block billing or semantic conflicts</w:t>
            </w:r>
          </w:p>
        </w:tc>
        <w:tc>
          <w:tcPr>
            <w:tcW w:w="4824" w:type="dxa"/>
            <w:shd w:val="clear" w:color="auto" w:fill="FFFFFF"/>
            <w:tcMar>
              <w:top w:w="120" w:type="dxa"/>
              <w:left w:w="120" w:type="dxa"/>
              <w:bottom w:w="120" w:type="dxa"/>
              <w:right w:w="120" w:type="dxa"/>
            </w:tcMar>
            <w:vAlign w:val="center"/>
          </w:tcPr>
          <w:p w14:paraId="310813F4" w14:textId="77777777" w:rsidR="009F7118" w:rsidRDefault="00000000">
            <w:pPr>
              <w:spacing w:after="20"/>
            </w:pPr>
            <w:r>
              <w:rPr>
                <w:sz w:val="17"/>
              </w:rPr>
              <w:t>The governing client policy</w:t>
            </w:r>
          </w:p>
        </w:tc>
      </w:tr>
      <w:tr w:rsidR="009F7118" w14:paraId="434B15DC" w14:textId="77777777">
        <w:trPr>
          <w:jc w:val="center"/>
        </w:trPr>
        <w:tc>
          <w:tcPr>
            <w:tcW w:w="4824" w:type="dxa"/>
            <w:shd w:val="clear" w:color="auto" w:fill="F5F8FC"/>
            <w:tcMar>
              <w:top w:w="120" w:type="dxa"/>
              <w:left w:w="120" w:type="dxa"/>
              <w:bottom w:w="120" w:type="dxa"/>
              <w:right w:w="120" w:type="dxa"/>
            </w:tcMar>
            <w:vAlign w:val="center"/>
          </w:tcPr>
          <w:p w14:paraId="70587974" w14:textId="77777777" w:rsidR="009F7118" w:rsidRDefault="00000000">
            <w:pPr>
              <w:spacing w:after="20"/>
            </w:pPr>
            <w:r>
              <w:rPr>
                <w:sz w:val="17"/>
              </w:rPr>
              <w:t>Comparing a narrative with authorized context</w:t>
            </w:r>
          </w:p>
        </w:tc>
        <w:tc>
          <w:tcPr>
            <w:tcW w:w="4824" w:type="dxa"/>
            <w:shd w:val="clear" w:color="auto" w:fill="F5F8FC"/>
            <w:tcMar>
              <w:top w:w="120" w:type="dxa"/>
              <w:left w:w="120" w:type="dxa"/>
              <w:bottom w:w="120" w:type="dxa"/>
              <w:right w:w="120" w:type="dxa"/>
            </w:tcMar>
            <w:vAlign w:val="center"/>
          </w:tcPr>
          <w:p w14:paraId="0D3848BC" w14:textId="77777777" w:rsidR="009F7118" w:rsidRDefault="00000000">
            <w:pPr>
              <w:spacing w:after="20"/>
            </w:pPr>
            <w:r>
              <w:rPr>
                <w:sz w:val="17"/>
              </w:rPr>
              <w:t>The original transaction record</w:t>
            </w:r>
          </w:p>
        </w:tc>
      </w:tr>
      <w:tr w:rsidR="009F7118" w14:paraId="60F3F896" w14:textId="77777777">
        <w:trPr>
          <w:jc w:val="center"/>
        </w:trPr>
        <w:tc>
          <w:tcPr>
            <w:tcW w:w="4824" w:type="dxa"/>
            <w:shd w:val="clear" w:color="auto" w:fill="FFFFFF"/>
            <w:tcMar>
              <w:top w:w="120" w:type="dxa"/>
              <w:left w:w="120" w:type="dxa"/>
              <w:bottom w:w="120" w:type="dxa"/>
              <w:right w:w="120" w:type="dxa"/>
            </w:tcMar>
            <w:vAlign w:val="center"/>
          </w:tcPr>
          <w:p w14:paraId="3292704A" w14:textId="77777777" w:rsidR="009F7118" w:rsidRDefault="00000000">
            <w:pPr>
              <w:spacing w:after="20"/>
            </w:pPr>
            <w:r>
              <w:rPr>
                <w:sz w:val="17"/>
              </w:rPr>
              <w:t>Proposing a correction, split, or request for support</w:t>
            </w:r>
          </w:p>
        </w:tc>
        <w:tc>
          <w:tcPr>
            <w:tcW w:w="4824" w:type="dxa"/>
            <w:shd w:val="clear" w:color="auto" w:fill="FFFFFF"/>
            <w:tcMar>
              <w:top w:w="120" w:type="dxa"/>
              <w:left w:w="120" w:type="dxa"/>
              <w:bottom w:w="120" w:type="dxa"/>
              <w:right w:w="120" w:type="dxa"/>
            </w:tcMar>
            <w:vAlign w:val="center"/>
          </w:tcPr>
          <w:p w14:paraId="36EA98C8" w14:textId="77777777" w:rsidR="009F7118" w:rsidRDefault="00000000">
            <w:pPr>
              <w:spacing w:after="20"/>
            </w:pPr>
            <w:r>
              <w:rPr>
                <w:sz w:val="17"/>
              </w:rPr>
              <w:t>The referee record or audit trail</w:t>
            </w:r>
          </w:p>
        </w:tc>
      </w:tr>
      <w:tr w:rsidR="009F7118" w14:paraId="6992C79E" w14:textId="77777777">
        <w:trPr>
          <w:jc w:val="center"/>
        </w:trPr>
        <w:tc>
          <w:tcPr>
            <w:tcW w:w="4824" w:type="dxa"/>
            <w:shd w:val="clear" w:color="auto" w:fill="F5F8FC"/>
            <w:tcMar>
              <w:top w:w="120" w:type="dxa"/>
              <w:left w:w="120" w:type="dxa"/>
              <w:bottom w:w="120" w:type="dxa"/>
              <w:right w:w="120" w:type="dxa"/>
            </w:tcMar>
            <w:vAlign w:val="center"/>
          </w:tcPr>
          <w:p w14:paraId="0A947AB9" w14:textId="77777777" w:rsidR="009F7118" w:rsidRDefault="00000000">
            <w:pPr>
              <w:spacing w:after="20"/>
            </w:pPr>
            <w:r>
              <w:rPr>
                <w:sz w:val="17"/>
              </w:rPr>
              <w:t>Explaining agreement and disagreement</w:t>
            </w:r>
          </w:p>
        </w:tc>
        <w:tc>
          <w:tcPr>
            <w:tcW w:w="4824" w:type="dxa"/>
            <w:shd w:val="clear" w:color="auto" w:fill="F5F8FC"/>
            <w:tcMar>
              <w:top w:w="120" w:type="dxa"/>
              <w:left w:w="120" w:type="dxa"/>
              <w:bottom w:w="120" w:type="dxa"/>
              <w:right w:w="120" w:type="dxa"/>
            </w:tcMar>
            <w:vAlign w:val="center"/>
          </w:tcPr>
          <w:p w14:paraId="7D34B1B7" w14:textId="77777777" w:rsidR="009F7118" w:rsidRDefault="00000000">
            <w:pPr>
              <w:spacing w:after="20"/>
            </w:pPr>
            <w:r>
              <w:rPr>
                <w:sz w:val="17"/>
              </w:rPr>
              <w:t>The authorized human reviewer</w:t>
            </w:r>
          </w:p>
        </w:tc>
      </w:tr>
    </w:tbl>
    <w:p w14:paraId="3F00E844" w14:textId="77777777" w:rsidR="009F7118" w:rsidRDefault="009F7118">
      <w:pPr>
        <w:spacing w:after="20"/>
      </w:pPr>
    </w:p>
    <w:p w14:paraId="20DB59D0" w14:textId="77777777" w:rsidR="009F7118" w:rsidRDefault="00000000">
      <w:pPr>
        <w:pStyle w:val="Heading1"/>
      </w:pPr>
      <w:r>
        <w:t>Illustrative Legal Workflow</w:t>
      </w:r>
    </w:p>
    <w:p w14:paraId="1A1143A0" w14:textId="77777777" w:rsidR="009F7118" w:rsidRDefault="00000000">
      <w:pPr>
        <w:spacing w:after="120" w:line="269" w:lineRule="auto"/>
      </w:pPr>
      <w:r>
        <w:t>A billing entry may be structurally valid while still presenting policy concerns such as a prohibited administrative activity, vague research description, unapproved rate, missing authorization, or a mismatch with matter-specific performance records.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259"/>
        <w:gridCol w:w="9720"/>
      </w:tblGrid>
      <w:tr w:rsidR="009F7118" w14:paraId="2D3ECD9D" w14:textId="77777777">
        <w:trPr>
          <w:jc w:val="center"/>
        </w:trPr>
        <w:tc>
          <w:tcPr>
            <w:tcW w:w="259" w:type="dxa"/>
            <w:shd w:val="clear" w:color="auto" w:fill="2764D8"/>
          </w:tcPr>
          <w:p w14:paraId="235C1A68" w14:textId="77777777" w:rsidR="009F7118" w:rsidRDefault="009F7118"/>
        </w:tc>
        <w:tc>
          <w:tcPr>
            <w:tcW w:w="9720" w:type="dxa"/>
            <w:shd w:val="clear" w:color="auto" w:fill="EAF1FB"/>
            <w:tcMar>
              <w:top w:w="160" w:type="dxa"/>
              <w:left w:w="160" w:type="dxa"/>
              <w:bottom w:w="160" w:type="dxa"/>
              <w:right w:w="160" w:type="dxa"/>
            </w:tcMar>
          </w:tcPr>
          <w:p w14:paraId="1F6DD3FC" w14:textId="77777777" w:rsidR="009F7118" w:rsidRDefault="00000000">
            <w:pPr>
              <w:spacing w:after="60"/>
            </w:pPr>
            <w:r>
              <w:rPr>
                <w:b/>
                <w:color w:val="12233F"/>
                <w:sz w:val="22"/>
              </w:rPr>
              <w:t>RAW ENTRY</w:t>
            </w:r>
          </w:p>
          <w:p w14:paraId="536A39F8" w14:textId="77777777" w:rsidR="009F7118" w:rsidRDefault="00000000">
            <w:pPr>
              <w:spacing w:after="40" w:line="259" w:lineRule="auto"/>
            </w:pPr>
            <w:r>
              <w:t>“Reviewed case files, printed updated exhibits, performed legal research, and drafted correspondence regarding deposition scheduling.” Associated metadata may include the firm, client, matter, timekeeper, rate, hours, timestamp, and authorized work context.</w:t>
            </w:r>
          </w:p>
        </w:tc>
      </w:tr>
    </w:tbl>
    <w:p w14:paraId="5D62D6CD" w14:textId="77777777" w:rsidR="009F7118" w:rsidRDefault="00000000">
      <w:pPr>
        <w:pStyle w:val="Heading2"/>
      </w:pPr>
      <w:r>
        <w:t>Illustrative DRE Treatment</w:t>
      </w:r>
    </w:p>
    <w:tbl>
      <w:tblPr>
        <w:tblStyle w:val="TableGrid"/>
        <w:tblW w:w="0" w:type="auto"/>
        <w:jc w:val="center"/>
        <w:tblLayout w:type="fixed"/>
        <w:tblLook w:val="04A0" w:firstRow="1" w:lastRow="0" w:firstColumn="1" w:lastColumn="0" w:noHBand="0" w:noVBand="1"/>
      </w:tblPr>
      <w:tblGrid>
        <w:gridCol w:w="2448"/>
        <w:gridCol w:w="7200"/>
      </w:tblGrid>
      <w:tr w:rsidR="009F7118" w14:paraId="6FB9A4A9" w14:textId="77777777">
        <w:trPr>
          <w:jc w:val="center"/>
        </w:trPr>
        <w:tc>
          <w:tcPr>
            <w:tcW w:w="2448" w:type="dxa"/>
            <w:shd w:val="clear" w:color="auto" w:fill="12233F"/>
            <w:tcMar>
              <w:top w:w="120" w:type="dxa"/>
              <w:left w:w="120" w:type="dxa"/>
              <w:bottom w:w="120" w:type="dxa"/>
              <w:right w:w="120" w:type="dxa"/>
            </w:tcMar>
          </w:tcPr>
          <w:p w14:paraId="33D75D5A" w14:textId="77777777" w:rsidR="009F7118" w:rsidRDefault="00000000">
            <w:pPr>
              <w:jc w:val="center"/>
            </w:pPr>
            <w:r>
              <w:rPr>
                <w:b/>
                <w:color w:val="FFFFFF"/>
                <w:sz w:val="18"/>
              </w:rPr>
              <w:t>Control</w:t>
            </w:r>
          </w:p>
        </w:tc>
        <w:tc>
          <w:tcPr>
            <w:tcW w:w="7200" w:type="dxa"/>
            <w:shd w:val="clear" w:color="auto" w:fill="12233F"/>
            <w:tcMar>
              <w:top w:w="120" w:type="dxa"/>
              <w:left w:w="120" w:type="dxa"/>
              <w:bottom w:w="120" w:type="dxa"/>
              <w:right w:w="120" w:type="dxa"/>
            </w:tcMar>
          </w:tcPr>
          <w:p w14:paraId="6825083B" w14:textId="77777777" w:rsidR="009F7118" w:rsidRDefault="00000000">
            <w:pPr>
              <w:jc w:val="center"/>
            </w:pPr>
            <w:r>
              <w:rPr>
                <w:b/>
                <w:color w:val="FFFFFF"/>
                <w:sz w:val="18"/>
              </w:rPr>
              <w:t>Illustrative Treatment</w:t>
            </w:r>
          </w:p>
        </w:tc>
      </w:tr>
      <w:tr w:rsidR="009F7118" w14:paraId="16934888" w14:textId="77777777">
        <w:trPr>
          <w:jc w:val="center"/>
        </w:trPr>
        <w:tc>
          <w:tcPr>
            <w:tcW w:w="2448" w:type="dxa"/>
            <w:shd w:val="clear" w:color="auto" w:fill="F5F8FC"/>
            <w:tcMar>
              <w:top w:w="120" w:type="dxa"/>
              <w:left w:w="120" w:type="dxa"/>
              <w:bottom w:w="120" w:type="dxa"/>
              <w:right w:w="120" w:type="dxa"/>
            </w:tcMar>
            <w:vAlign w:val="center"/>
          </w:tcPr>
          <w:p w14:paraId="3FEED072" w14:textId="77777777" w:rsidR="009F7118" w:rsidRDefault="00000000">
            <w:pPr>
              <w:spacing w:after="20"/>
            </w:pPr>
            <w:r>
              <w:rPr>
                <w:sz w:val="17"/>
              </w:rPr>
              <w:t>Schema and integrity</w:t>
            </w:r>
          </w:p>
        </w:tc>
        <w:tc>
          <w:tcPr>
            <w:tcW w:w="7200" w:type="dxa"/>
            <w:shd w:val="clear" w:color="auto" w:fill="F5F8FC"/>
            <w:tcMar>
              <w:top w:w="120" w:type="dxa"/>
              <w:left w:w="120" w:type="dxa"/>
              <w:bottom w:w="120" w:type="dxa"/>
              <w:right w:w="120" w:type="dxa"/>
            </w:tcMar>
            <w:vAlign w:val="center"/>
          </w:tcPr>
          <w:p w14:paraId="47BF725E" w14:textId="77777777" w:rsidR="009F7118" w:rsidRDefault="00000000">
            <w:pPr>
              <w:spacing w:after="20"/>
            </w:pPr>
            <w:r>
              <w:rPr>
                <w:sz w:val="17"/>
              </w:rPr>
              <w:t>Confirm identifiers, amounts, time values, types, and required references.</w:t>
            </w:r>
          </w:p>
        </w:tc>
      </w:tr>
      <w:tr w:rsidR="009F7118" w14:paraId="6C6DA64B" w14:textId="77777777">
        <w:trPr>
          <w:jc w:val="center"/>
        </w:trPr>
        <w:tc>
          <w:tcPr>
            <w:tcW w:w="2448" w:type="dxa"/>
            <w:shd w:val="clear" w:color="auto" w:fill="FFFFFF"/>
            <w:tcMar>
              <w:top w:w="120" w:type="dxa"/>
              <w:left w:w="120" w:type="dxa"/>
              <w:bottom w:w="120" w:type="dxa"/>
              <w:right w:w="120" w:type="dxa"/>
            </w:tcMar>
            <w:vAlign w:val="center"/>
          </w:tcPr>
          <w:p w14:paraId="2B524EB7" w14:textId="77777777" w:rsidR="009F7118" w:rsidRDefault="00000000">
            <w:pPr>
              <w:spacing w:after="20"/>
            </w:pPr>
            <w:r>
              <w:rPr>
                <w:sz w:val="17"/>
              </w:rPr>
              <w:t>Financial context</w:t>
            </w:r>
          </w:p>
        </w:tc>
        <w:tc>
          <w:tcPr>
            <w:tcW w:w="7200" w:type="dxa"/>
            <w:shd w:val="clear" w:color="auto" w:fill="FFFFFF"/>
            <w:tcMar>
              <w:top w:w="120" w:type="dxa"/>
              <w:left w:w="120" w:type="dxa"/>
              <w:bottom w:w="120" w:type="dxa"/>
              <w:right w:w="120" w:type="dxa"/>
            </w:tcMar>
            <w:vAlign w:val="center"/>
          </w:tcPr>
          <w:p w14:paraId="0FA29CFF" w14:textId="77777777" w:rsidR="009F7118" w:rsidRDefault="00000000">
            <w:pPr>
              <w:spacing w:after="20"/>
            </w:pPr>
            <w:r>
              <w:rPr>
                <w:sz w:val="17"/>
              </w:rPr>
              <w:t>Compare the entry with authorized rate, value, threshold, allocation, and configured financial controls.</w:t>
            </w:r>
          </w:p>
        </w:tc>
      </w:tr>
      <w:tr w:rsidR="009F7118" w14:paraId="6FE83DB4" w14:textId="77777777">
        <w:trPr>
          <w:jc w:val="center"/>
        </w:trPr>
        <w:tc>
          <w:tcPr>
            <w:tcW w:w="2448" w:type="dxa"/>
            <w:shd w:val="clear" w:color="auto" w:fill="F5F8FC"/>
            <w:tcMar>
              <w:top w:w="120" w:type="dxa"/>
              <w:left w:w="120" w:type="dxa"/>
              <w:bottom w:w="120" w:type="dxa"/>
              <w:right w:w="120" w:type="dxa"/>
            </w:tcMar>
            <w:vAlign w:val="center"/>
          </w:tcPr>
          <w:p w14:paraId="45918C46" w14:textId="77777777" w:rsidR="009F7118" w:rsidRDefault="00000000">
            <w:pPr>
              <w:spacing w:after="20"/>
            </w:pPr>
            <w:r>
              <w:rPr>
                <w:sz w:val="17"/>
              </w:rPr>
              <w:t>Client and matter policy</w:t>
            </w:r>
          </w:p>
        </w:tc>
        <w:tc>
          <w:tcPr>
            <w:tcW w:w="7200" w:type="dxa"/>
            <w:shd w:val="clear" w:color="auto" w:fill="F5F8FC"/>
            <w:tcMar>
              <w:top w:w="120" w:type="dxa"/>
              <w:left w:w="120" w:type="dxa"/>
              <w:bottom w:w="120" w:type="dxa"/>
              <w:right w:w="120" w:type="dxa"/>
            </w:tcMar>
            <w:vAlign w:val="center"/>
          </w:tcPr>
          <w:p w14:paraId="7BBF2B2C" w14:textId="77777777" w:rsidR="009F7118" w:rsidRDefault="00000000">
            <w:pPr>
              <w:spacing w:after="20"/>
            </w:pPr>
            <w:r>
              <w:rPr>
                <w:sz w:val="17"/>
              </w:rPr>
              <w:t>Apply the correct OCG and matter-specific rules, including prohibited activities and documentary requirements.</w:t>
            </w:r>
          </w:p>
        </w:tc>
      </w:tr>
      <w:tr w:rsidR="009F7118" w14:paraId="28E2C4D5" w14:textId="77777777">
        <w:trPr>
          <w:jc w:val="center"/>
        </w:trPr>
        <w:tc>
          <w:tcPr>
            <w:tcW w:w="2448" w:type="dxa"/>
            <w:shd w:val="clear" w:color="auto" w:fill="FFFFFF"/>
            <w:tcMar>
              <w:top w:w="120" w:type="dxa"/>
              <w:left w:w="120" w:type="dxa"/>
              <w:bottom w:w="120" w:type="dxa"/>
              <w:right w:w="120" w:type="dxa"/>
            </w:tcMar>
            <w:vAlign w:val="center"/>
          </w:tcPr>
          <w:p w14:paraId="3B941302" w14:textId="77777777" w:rsidR="009F7118" w:rsidRDefault="00000000">
            <w:pPr>
              <w:spacing w:after="20"/>
            </w:pPr>
            <w:r>
              <w:rPr>
                <w:sz w:val="17"/>
              </w:rPr>
              <w:t>Quarantine</w:t>
            </w:r>
          </w:p>
        </w:tc>
        <w:tc>
          <w:tcPr>
            <w:tcW w:w="7200" w:type="dxa"/>
            <w:shd w:val="clear" w:color="auto" w:fill="FFFFFF"/>
            <w:tcMar>
              <w:top w:w="120" w:type="dxa"/>
              <w:left w:w="120" w:type="dxa"/>
              <w:bottom w:w="120" w:type="dxa"/>
              <w:right w:w="120" w:type="dxa"/>
            </w:tcMar>
            <w:vAlign w:val="center"/>
          </w:tcPr>
          <w:p w14:paraId="3AAA0DDE" w14:textId="77777777" w:rsidR="009F7118" w:rsidRDefault="00000000">
            <w:pPr>
              <w:spacing w:after="20"/>
            </w:pPr>
            <w:r>
              <w:rPr>
                <w:sz w:val="17"/>
              </w:rPr>
              <w:t>Preserve the original entry and isolate unresolved narrative, allocation, authorization, or policy issues.</w:t>
            </w:r>
          </w:p>
        </w:tc>
      </w:tr>
      <w:tr w:rsidR="009F7118" w14:paraId="1DC2168E" w14:textId="77777777">
        <w:trPr>
          <w:jc w:val="center"/>
        </w:trPr>
        <w:tc>
          <w:tcPr>
            <w:tcW w:w="2448" w:type="dxa"/>
            <w:shd w:val="clear" w:color="auto" w:fill="F5F8FC"/>
            <w:tcMar>
              <w:top w:w="120" w:type="dxa"/>
              <w:left w:w="120" w:type="dxa"/>
              <w:bottom w:w="120" w:type="dxa"/>
              <w:right w:w="120" w:type="dxa"/>
            </w:tcMar>
            <w:vAlign w:val="center"/>
          </w:tcPr>
          <w:p w14:paraId="1EA5E849" w14:textId="77777777" w:rsidR="009F7118" w:rsidRDefault="00000000">
            <w:pPr>
              <w:spacing w:after="20"/>
            </w:pPr>
            <w:r>
              <w:rPr>
                <w:sz w:val="17"/>
              </w:rPr>
              <w:t>Consensus review</w:t>
            </w:r>
          </w:p>
        </w:tc>
        <w:tc>
          <w:tcPr>
            <w:tcW w:w="7200" w:type="dxa"/>
            <w:shd w:val="clear" w:color="auto" w:fill="F5F8FC"/>
            <w:tcMar>
              <w:top w:w="120" w:type="dxa"/>
              <w:left w:w="120" w:type="dxa"/>
              <w:bottom w:w="120" w:type="dxa"/>
              <w:right w:w="120" w:type="dxa"/>
            </w:tcMar>
            <w:vAlign w:val="center"/>
          </w:tcPr>
          <w:p w14:paraId="5DCD083E" w14:textId="77777777" w:rsidR="009F7118" w:rsidRDefault="00000000">
            <w:pPr>
              <w:spacing w:after="20"/>
            </w:pPr>
            <w:r>
              <w:rPr>
                <w:sz w:val="17"/>
              </w:rPr>
              <w:t>Run three agents across three rounds and consolidate the results through the referee node.</w:t>
            </w:r>
          </w:p>
        </w:tc>
      </w:tr>
      <w:tr w:rsidR="009F7118" w14:paraId="51D1BCFE" w14:textId="77777777">
        <w:trPr>
          <w:jc w:val="center"/>
        </w:trPr>
        <w:tc>
          <w:tcPr>
            <w:tcW w:w="2448" w:type="dxa"/>
            <w:shd w:val="clear" w:color="auto" w:fill="FFFFFF"/>
            <w:tcMar>
              <w:top w:w="120" w:type="dxa"/>
              <w:left w:w="120" w:type="dxa"/>
              <w:bottom w:w="120" w:type="dxa"/>
              <w:right w:w="120" w:type="dxa"/>
            </w:tcMar>
            <w:vAlign w:val="center"/>
          </w:tcPr>
          <w:p w14:paraId="39E80BDF" w14:textId="77777777" w:rsidR="009F7118" w:rsidRDefault="00000000">
            <w:pPr>
              <w:spacing w:after="20"/>
            </w:pPr>
            <w:r>
              <w:rPr>
                <w:sz w:val="17"/>
              </w:rPr>
              <w:t>Human disposition</w:t>
            </w:r>
          </w:p>
        </w:tc>
        <w:tc>
          <w:tcPr>
            <w:tcW w:w="7200" w:type="dxa"/>
            <w:shd w:val="clear" w:color="auto" w:fill="FFFFFF"/>
            <w:tcMar>
              <w:top w:w="120" w:type="dxa"/>
              <w:left w:w="120" w:type="dxa"/>
              <w:bottom w:w="120" w:type="dxa"/>
              <w:right w:w="120" w:type="dxa"/>
            </w:tcMar>
            <w:vAlign w:val="center"/>
          </w:tcPr>
          <w:p w14:paraId="161C2C07" w14:textId="77777777" w:rsidR="009F7118" w:rsidRDefault="00000000">
            <w:pPr>
              <w:spacing w:after="20"/>
            </w:pPr>
            <w:r>
              <w:rPr>
                <w:sz w:val="17"/>
              </w:rPr>
              <w:t>Allow an authorized reviewer to approve, revise, split, reject, return, or request further support.</w:t>
            </w:r>
          </w:p>
        </w:tc>
      </w:tr>
      <w:tr w:rsidR="009F7118" w14:paraId="2928E27C" w14:textId="77777777">
        <w:trPr>
          <w:jc w:val="center"/>
        </w:trPr>
        <w:tc>
          <w:tcPr>
            <w:tcW w:w="2448" w:type="dxa"/>
            <w:shd w:val="clear" w:color="auto" w:fill="F5F8FC"/>
            <w:tcMar>
              <w:top w:w="120" w:type="dxa"/>
              <w:left w:w="120" w:type="dxa"/>
              <w:bottom w:w="120" w:type="dxa"/>
              <w:right w:w="120" w:type="dxa"/>
            </w:tcMar>
            <w:vAlign w:val="center"/>
          </w:tcPr>
          <w:p w14:paraId="764C3BCE" w14:textId="77777777" w:rsidR="009F7118" w:rsidRDefault="00000000">
            <w:pPr>
              <w:spacing w:after="20"/>
            </w:pPr>
            <w:r>
              <w:rPr>
                <w:sz w:val="17"/>
              </w:rPr>
              <w:t>Audit output</w:t>
            </w:r>
          </w:p>
        </w:tc>
        <w:tc>
          <w:tcPr>
            <w:tcW w:w="7200" w:type="dxa"/>
            <w:shd w:val="clear" w:color="auto" w:fill="F5F8FC"/>
            <w:tcMar>
              <w:top w:w="120" w:type="dxa"/>
              <w:left w:w="120" w:type="dxa"/>
              <w:bottom w:w="120" w:type="dxa"/>
              <w:right w:w="120" w:type="dxa"/>
            </w:tcMar>
            <w:vAlign w:val="center"/>
          </w:tcPr>
          <w:p w14:paraId="659F3E60" w14:textId="77777777" w:rsidR="009F7118" w:rsidRDefault="00000000">
            <w:pPr>
              <w:spacing w:after="20"/>
            </w:pPr>
            <w:r>
              <w:rPr>
                <w:sz w:val="17"/>
              </w:rPr>
              <w:t>Store the input, rules fired, context considered, agent votes, referee recommendation, and human decision.</w:t>
            </w:r>
          </w:p>
        </w:tc>
      </w:tr>
    </w:tbl>
    <w:p w14:paraId="20858152" w14:textId="77777777" w:rsidR="009F7118" w:rsidRDefault="009F7118">
      <w:pPr>
        <w:spacing w:after="20"/>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259"/>
        <w:gridCol w:w="9720"/>
      </w:tblGrid>
      <w:tr w:rsidR="009F7118" w14:paraId="1FD76CC2" w14:textId="77777777">
        <w:trPr>
          <w:jc w:val="center"/>
        </w:trPr>
        <w:tc>
          <w:tcPr>
            <w:tcW w:w="259" w:type="dxa"/>
            <w:shd w:val="clear" w:color="auto" w:fill="D95F02"/>
          </w:tcPr>
          <w:p w14:paraId="3CBEEB33" w14:textId="77777777" w:rsidR="009F7118" w:rsidRDefault="009F7118"/>
        </w:tc>
        <w:tc>
          <w:tcPr>
            <w:tcW w:w="9720" w:type="dxa"/>
            <w:shd w:val="clear" w:color="auto" w:fill="FFF4E5"/>
            <w:tcMar>
              <w:top w:w="160" w:type="dxa"/>
              <w:left w:w="160" w:type="dxa"/>
              <w:bottom w:w="160" w:type="dxa"/>
              <w:right w:w="160" w:type="dxa"/>
            </w:tcMar>
          </w:tcPr>
          <w:p w14:paraId="0351D727" w14:textId="77777777" w:rsidR="009F7118" w:rsidRDefault="00000000">
            <w:pPr>
              <w:spacing w:after="60"/>
            </w:pPr>
            <w:r>
              <w:rPr>
                <w:b/>
                <w:color w:val="12233F"/>
                <w:sz w:val="22"/>
              </w:rPr>
              <w:t>FINANCIAL CLAIM DISCIPLINE</w:t>
            </w:r>
          </w:p>
          <w:p w14:paraId="75B79B8D" w14:textId="77777777" w:rsidR="009F7118" w:rsidRDefault="00000000">
            <w:pPr>
              <w:spacing w:after="40" w:line="259" w:lineRule="auto"/>
            </w:pPr>
            <w:r>
              <w:t>DRE should distinguish identified exposure from realized savings. Before human approval, the system can calculate the amount associated with a flagged or proposed adjustment. After disposition, reporting can describe approved corrections, avoided submission issues, recovered billing value, or other defined measures.</w:t>
            </w:r>
          </w:p>
        </w:tc>
      </w:tr>
    </w:tbl>
    <w:p w14:paraId="267414B0" w14:textId="77777777" w:rsidR="009F7118" w:rsidRDefault="00000000">
      <w:pPr>
        <w:pStyle w:val="Heading1"/>
      </w:pPr>
      <w:r>
        <w:t>Deployment Vision</w:t>
      </w:r>
    </w:p>
    <w:p w14:paraId="4E4A5EFB" w14:textId="77777777" w:rsidR="009F7118" w:rsidRDefault="00000000">
      <w:pPr>
        <w:spacing w:after="120" w:line="269" w:lineRule="auto"/>
      </w:pPr>
      <w:r>
        <w:t>DRE is planned as an Azure-native control layer that can connect to established legal billing environments without requiring the firm to replace its system of record. The intended deployment language emphasizes customer control, private connectivity, service isolation, identity, secrets management, structured messaging, observability, and auditable processing.</w:t>
      </w:r>
    </w:p>
    <w:tbl>
      <w:tblPr>
        <w:tblStyle w:val="TableGrid"/>
        <w:tblW w:w="0" w:type="auto"/>
        <w:jc w:val="center"/>
        <w:tblLayout w:type="fixed"/>
        <w:tblLook w:val="04A0" w:firstRow="1" w:lastRow="0" w:firstColumn="1" w:lastColumn="0" w:noHBand="0" w:noVBand="1"/>
      </w:tblPr>
      <w:tblGrid>
        <w:gridCol w:w="3024"/>
        <w:gridCol w:w="6624"/>
      </w:tblGrid>
      <w:tr w:rsidR="009F7118" w14:paraId="43656526" w14:textId="77777777">
        <w:trPr>
          <w:jc w:val="center"/>
        </w:trPr>
        <w:tc>
          <w:tcPr>
            <w:tcW w:w="3024" w:type="dxa"/>
            <w:shd w:val="clear" w:color="auto" w:fill="12233F"/>
            <w:tcMar>
              <w:top w:w="120" w:type="dxa"/>
              <w:left w:w="120" w:type="dxa"/>
              <w:bottom w:w="120" w:type="dxa"/>
              <w:right w:w="120" w:type="dxa"/>
            </w:tcMar>
          </w:tcPr>
          <w:p w14:paraId="162AA21F" w14:textId="77777777" w:rsidR="009F7118" w:rsidRDefault="00000000">
            <w:pPr>
              <w:jc w:val="center"/>
            </w:pPr>
            <w:r>
              <w:rPr>
                <w:b/>
                <w:color w:val="FFFFFF"/>
                <w:sz w:val="18"/>
              </w:rPr>
              <w:t>Capability</w:t>
            </w:r>
          </w:p>
        </w:tc>
        <w:tc>
          <w:tcPr>
            <w:tcW w:w="6624" w:type="dxa"/>
            <w:shd w:val="clear" w:color="auto" w:fill="12233F"/>
            <w:tcMar>
              <w:top w:w="120" w:type="dxa"/>
              <w:left w:w="120" w:type="dxa"/>
              <w:bottom w:w="120" w:type="dxa"/>
              <w:right w:w="120" w:type="dxa"/>
            </w:tcMar>
          </w:tcPr>
          <w:p w14:paraId="7C9A380E" w14:textId="77777777" w:rsidR="009F7118" w:rsidRDefault="00000000">
            <w:pPr>
              <w:jc w:val="center"/>
            </w:pPr>
            <w:r>
              <w:rPr>
                <w:b/>
                <w:color w:val="FFFFFF"/>
                <w:sz w:val="18"/>
              </w:rPr>
              <w:t>Role in DRE</w:t>
            </w:r>
          </w:p>
        </w:tc>
      </w:tr>
      <w:tr w:rsidR="009F7118" w14:paraId="17A3EB17" w14:textId="77777777">
        <w:trPr>
          <w:jc w:val="center"/>
        </w:trPr>
        <w:tc>
          <w:tcPr>
            <w:tcW w:w="3024" w:type="dxa"/>
            <w:shd w:val="clear" w:color="auto" w:fill="F5F8FC"/>
            <w:tcMar>
              <w:top w:w="120" w:type="dxa"/>
              <w:left w:w="120" w:type="dxa"/>
              <w:bottom w:w="120" w:type="dxa"/>
              <w:right w:w="120" w:type="dxa"/>
            </w:tcMar>
            <w:vAlign w:val="center"/>
          </w:tcPr>
          <w:p w14:paraId="23E64A95" w14:textId="77777777" w:rsidR="009F7118" w:rsidRDefault="00000000">
            <w:pPr>
              <w:spacing w:after="20"/>
            </w:pPr>
            <w:r>
              <w:rPr>
                <w:sz w:val="17"/>
              </w:rPr>
              <w:t>API and execution boundary</w:t>
            </w:r>
          </w:p>
        </w:tc>
        <w:tc>
          <w:tcPr>
            <w:tcW w:w="6624" w:type="dxa"/>
            <w:shd w:val="clear" w:color="auto" w:fill="F5F8FC"/>
            <w:tcMar>
              <w:top w:w="120" w:type="dxa"/>
              <w:left w:w="120" w:type="dxa"/>
              <w:bottom w:w="120" w:type="dxa"/>
              <w:right w:w="120" w:type="dxa"/>
            </w:tcMar>
            <w:vAlign w:val="center"/>
          </w:tcPr>
          <w:p w14:paraId="54C7FF8F" w14:textId="77777777" w:rsidR="009F7118" w:rsidRDefault="00000000">
            <w:pPr>
              <w:spacing w:after="20"/>
            </w:pPr>
            <w:r>
              <w:rPr>
                <w:sz w:val="17"/>
              </w:rPr>
              <w:t>Receive transactions and run deterministic processing in a controlled application layer.</w:t>
            </w:r>
          </w:p>
        </w:tc>
      </w:tr>
      <w:tr w:rsidR="009F7118" w14:paraId="657DE25B" w14:textId="77777777">
        <w:trPr>
          <w:jc w:val="center"/>
        </w:trPr>
        <w:tc>
          <w:tcPr>
            <w:tcW w:w="3024" w:type="dxa"/>
            <w:shd w:val="clear" w:color="auto" w:fill="FFFFFF"/>
            <w:tcMar>
              <w:top w:w="120" w:type="dxa"/>
              <w:left w:w="120" w:type="dxa"/>
              <w:bottom w:w="120" w:type="dxa"/>
              <w:right w:w="120" w:type="dxa"/>
            </w:tcMar>
            <w:vAlign w:val="center"/>
          </w:tcPr>
          <w:p w14:paraId="067E988B" w14:textId="77777777" w:rsidR="009F7118" w:rsidRDefault="00000000">
            <w:pPr>
              <w:spacing w:after="20"/>
            </w:pPr>
            <w:r>
              <w:rPr>
                <w:sz w:val="17"/>
              </w:rPr>
              <w:t>Messaging and quarantine</w:t>
            </w:r>
          </w:p>
        </w:tc>
        <w:tc>
          <w:tcPr>
            <w:tcW w:w="6624" w:type="dxa"/>
            <w:shd w:val="clear" w:color="auto" w:fill="FFFFFF"/>
            <w:tcMar>
              <w:top w:w="120" w:type="dxa"/>
              <w:left w:w="120" w:type="dxa"/>
              <w:bottom w:w="120" w:type="dxa"/>
              <w:right w:w="120" w:type="dxa"/>
            </w:tcMar>
            <w:vAlign w:val="center"/>
          </w:tcPr>
          <w:p w14:paraId="41AEAF0A" w14:textId="77777777" w:rsidR="009F7118" w:rsidRDefault="00000000">
            <w:pPr>
              <w:spacing w:after="20"/>
            </w:pPr>
            <w:r>
              <w:rPr>
                <w:sz w:val="17"/>
              </w:rPr>
              <w:t>Buffer work, route exceptions, support retries, and preserve controlled processing states.</w:t>
            </w:r>
          </w:p>
        </w:tc>
      </w:tr>
      <w:tr w:rsidR="009F7118" w14:paraId="08DE1698" w14:textId="77777777">
        <w:trPr>
          <w:jc w:val="center"/>
        </w:trPr>
        <w:tc>
          <w:tcPr>
            <w:tcW w:w="3024" w:type="dxa"/>
            <w:shd w:val="clear" w:color="auto" w:fill="F5F8FC"/>
            <w:tcMar>
              <w:top w:w="120" w:type="dxa"/>
              <w:left w:w="120" w:type="dxa"/>
              <w:bottom w:w="120" w:type="dxa"/>
              <w:right w:w="120" w:type="dxa"/>
            </w:tcMar>
            <w:vAlign w:val="center"/>
          </w:tcPr>
          <w:p w14:paraId="2961A117" w14:textId="77777777" w:rsidR="009F7118" w:rsidRDefault="00000000">
            <w:pPr>
              <w:spacing w:after="20"/>
            </w:pPr>
            <w:r>
              <w:rPr>
                <w:sz w:val="17"/>
              </w:rPr>
              <w:t>Private connectivity</w:t>
            </w:r>
          </w:p>
        </w:tc>
        <w:tc>
          <w:tcPr>
            <w:tcW w:w="6624" w:type="dxa"/>
            <w:shd w:val="clear" w:color="auto" w:fill="F5F8FC"/>
            <w:tcMar>
              <w:top w:w="120" w:type="dxa"/>
              <w:left w:w="120" w:type="dxa"/>
              <w:bottom w:w="120" w:type="dxa"/>
              <w:right w:w="120" w:type="dxa"/>
            </w:tcMar>
            <w:vAlign w:val="center"/>
          </w:tcPr>
          <w:p w14:paraId="216DB5A4" w14:textId="77777777" w:rsidR="009F7118" w:rsidRDefault="00000000">
            <w:pPr>
              <w:spacing w:after="20"/>
            </w:pPr>
            <w:r>
              <w:rPr>
                <w:sz w:val="17"/>
              </w:rPr>
              <w:t>Connect services without exposing sensitive transaction flows unnecessarily to public endpoints.</w:t>
            </w:r>
          </w:p>
        </w:tc>
      </w:tr>
      <w:tr w:rsidR="009F7118" w14:paraId="442D1B36" w14:textId="77777777">
        <w:trPr>
          <w:jc w:val="center"/>
        </w:trPr>
        <w:tc>
          <w:tcPr>
            <w:tcW w:w="3024" w:type="dxa"/>
            <w:shd w:val="clear" w:color="auto" w:fill="FFFFFF"/>
            <w:tcMar>
              <w:top w:w="120" w:type="dxa"/>
              <w:left w:w="120" w:type="dxa"/>
              <w:bottom w:w="120" w:type="dxa"/>
              <w:right w:w="120" w:type="dxa"/>
            </w:tcMar>
            <w:vAlign w:val="center"/>
          </w:tcPr>
          <w:p w14:paraId="4B1579AB" w14:textId="77777777" w:rsidR="009F7118" w:rsidRDefault="00000000">
            <w:pPr>
              <w:spacing w:after="20"/>
            </w:pPr>
            <w:r>
              <w:rPr>
                <w:sz w:val="17"/>
              </w:rPr>
              <w:t>Identity and authorization</w:t>
            </w:r>
          </w:p>
        </w:tc>
        <w:tc>
          <w:tcPr>
            <w:tcW w:w="6624" w:type="dxa"/>
            <w:shd w:val="clear" w:color="auto" w:fill="FFFFFF"/>
            <w:tcMar>
              <w:top w:w="120" w:type="dxa"/>
              <w:left w:w="120" w:type="dxa"/>
              <w:bottom w:w="120" w:type="dxa"/>
              <w:right w:w="120" w:type="dxa"/>
            </w:tcMar>
            <w:vAlign w:val="center"/>
          </w:tcPr>
          <w:p w14:paraId="11E974A8" w14:textId="77777777" w:rsidR="009F7118" w:rsidRDefault="00000000">
            <w:pPr>
              <w:spacing w:after="20"/>
            </w:pPr>
            <w:r>
              <w:rPr>
                <w:sz w:val="17"/>
              </w:rPr>
              <w:t>Control service identities, customer access, reviewer authority, and administrative privileges.</w:t>
            </w:r>
          </w:p>
        </w:tc>
      </w:tr>
      <w:tr w:rsidR="009F7118" w14:paraId="0D0CCF95" w14:textId="77777777">
        <w:trPr>
          <w:jc w:val="center"/>
        </w:trPr>
        <w:tc>
          <w:tcPr>
            <w:tcW w:w="3024" w:type="dxa"/>
            <w:shd w:val="clear" w:color="auto" w:fill="F5F8FC"/>
            <w:tcMar>
              <w:top w:w="120" w:type="dxa"/>
              <w:left w:w="120" w:type="dxa"/>
              <w:bottom w:w="120" w:type="dxa"/>
              <w:right w:w="120" w:type="dxa"/>
            </w:tcMar>
            <w:vAlign w:val="center"/>
          </w:tcPr>
          <w:p w14:paraId="1179B9B7" w14:textId="77777777" w:rsidR="009F7118" w:rsidRDefault="00000000">
            <w:pPr>
              <w:spacing w:after="20"/>
            </w:pPr>
            <w:r>
              <w:rPr>
                <w:sz w:val="17"/>
              </w:rPr>
              <w:t>Secrets and key management</w:t>
            </w:r>
          </w:p>
        </w:tc>
        <w:tc>
          <w:tcPr>
            <w:tcW w:w="6624" w:type="dxa"/>
            <w:shd w:val="clear" w:color="auto" w:fill="F5F8FC"/>
            <w:tcMar>
              <w:top w:w="120" w:type="dxa"/>
              <w:left w:w="120" w:type="dxa"/>
              <w:bottom w:w="120" w:type="dxa"/>
              <w:right w:w="120" w:type="dxa"/>
            </w:tcMar>
            <w:vAlign w:val="center"/>
          </w:tcPr>
          <w:p w14:paraId="05D665D2" w14:textId="77777777" w:rsidR="009F7118" w:rsidRDefault="00000000">
            <w:pPr>
              <w:spacing w:after="20"/>
            </w:pPr>
            <w:r>
              <w:rPr>
                <w:sz w:val="17"/>
              </w:rPr>
              <w:t>Protect credentials, certificates, encryption material, and signing keys.</w:t>
            </w:r>
          </w:p>
        </w:tc>
      </w:tr>
      <w:tr w:rsidR="009F7118" w14:paraId="04FB87BF" w14:textId="77777777">
        <w:trPr>
          <w:jc w:val="center"/>
        </w:trPr>
        <w:tc>
          <w:tcPr>
            <w:tcW w:w="3024" w:type="dxa"/>
            <w:shd w:val="clear" w:color="auto" w:fill="FFFFFF"/>
            <w:tcMar>
              <w:top w:w="120" w:type="dxa"/>
              <w:left w:w="120" w:type="dxa"/>
              <w:bottom w:w="120" w:type="dxa"/>
              <w:right w:w="120" w:type="dxa"/>
            </w:tcMar>
            <w:vAlign w:val="center"/>
          </w:tcPr>
          <w:p w14:paraId="3F8433A3" w14:textId="77777777" w:rsidR="009F7118" w:rsidRDefault="00000000">
            <w:pPr>
              <w:spacing w:after="20"/>
            </w:pPr>
            <w:r>
              <w:rPr>
                <w:sz w:val="17"/>
              </w:rPr>
              <w:t>Structured audit storage</w:t>
            </w:r>
          </w:p>
        </w:tc>
        <w:tc>
          <w:tcPr>
            <w:tcW w:w="6624" w:type="dxa"/>
            <w:shd w:val="clear" w:color="auto" w:fill="FFFFFF"/>
            <w:tcMar>
              <w:top w:w="120" w:type="dxa"/>
              <w:left w:w="120" w:type="dxa"/>
              <w:bottom w:w="120" w:type="dxa"/>
              <w:right w:w="120" w:type="dxa"/>
            </w:tcMar>
            <w:vAlign w:val="center"/>
          </w:tcPr>
          <w:p w14:paraId="4DBDCA02" w14:textId="77777777" w:rsidR="009F7118" w:rsidRDefault="00000000">
            <w:pPr>
              <w:spacing w:after="20"/>
            </w:pPr>
            <w:r>
              <w:rPr>
                <w:sz w:val="17"/>
              </w:rPr>
              <w:t>Preserve transaction state, ruleset version, consensus record, recommendation, and disposition.</w:t>
            </w:r>
          </w:p>
        </w:tc>
      </w:tr>
      <w:tr w:rsidR="009F7118" w14:paraId="2903BC34" w14:textId="77777777">
        <w:trPr>
          <w:jc w:val="center"/>
        </w:trPr>
        <w:tc>
          <w:tcPr>
            <w:tcW w:w="3024" w:type="dxa"/>
            <w:shd w:val="clear" w:color="auto" w:fill="F5F8FC"/>
            <w:tcMar>
              <w:top w:w="120" w:type="dxa"/>
              <w:left w:w="120" w:type="dxa"/>
              <w:bottom w:w="120" w:type="dxa"/>
              <w:right w:w="120" w:type="dxa"/>
            </w:tcMar>
            <w:vAlign w:val="center"/>
          </w:tcPr>
          <w:p w14:paraId="409355C5" w14:textId="77777777" w:rsidR="009F7118" w:rsidRDefault="00000000">
            <w:pPr>
              <w:spacing w:after="20"/>
            </w:pPr>
            <w:r>
              <w:rPr>
                <w:sz w:val="17"/>
              </w:rPr>
              <w:t>Multi-agent model services</w:t>
            </w:r>
          </w:p>
        </w:tc>
        <w:tc>
          <w:tcPr>
            <w:tcW w:w="6624" w:type="dxa"/>
            <w:shd w:val="clear" w:color="auto" w:fill="F5F8FC"/>
            <w:tcMar>
              <w:top w:w="120" w:type="dxa"/>
              <w:left w:w="120" w:type="dxa"/>
              <w:bottom w:w="120" w:type="dxa"/>
              <w:right w:w="120" w:type="dxa"/>
            </w:tcMar>
            <w:vAlign w:val="center"/>
          </w:tcPr>
          <w:p w14:paraId="6F4E46EC" w14:textId="77777777" w:rsidR="009F7118" w:rsidRDefault="00000000">
            <w:pPr>
              <w:spacing w:after="20"/>
            </w:pPr>
            <w:r>
              <w:rPr>
                <w:sz w:val="17"/>
              </w:rPr>
              <w:t>Perform repeated exception analysis within the defined consensus boundary.</w:t>
            </w:r>
          </w:p>
        </w:tc>
      </w:tr>
      <w:tr w:rsidR="009F7118" w14:paraId="2B105699" w14:textId="77777777">
        <w:trPr>
          <w:jc w:val="center"/>
        </w:trPr>
        <w:tc>
          <w:tcPr>
            <w:tcW w:w="3024" w:type="dxa"/>
            <w:shd w:val="clear" w:color="auto" w:fill="FFFFFF"/>
            <w:tcMar>
              <w:top w:w="120" w:type="dxa"/>
              <w:left w:w="120" w:type="dxa"/>
              <w:bottom w:w="120" w:type="dxa"/>
              <w:right w:w="120" w:type="dxa"/>
            </w:tcMar>
            <w:vAlign w:val="center"/>
          </w:tcPr>
          <w:p w14:paraId="0F57E319" w14:textId="77777777" w:rsidR="009F7118" w:rsidRDefault="00000000">
            <w:pPr>
              <w:spacing w:after="20"/>
            </w:pPr>
            <w:r>
              <w:rPr>
                <w:sz w:val="17"/>
              </w:rPr>
              <w:t>Monitoring and security</w:t>
            </w:r>
          </w:p>
        </w:tc>
        <w:tc>
          <w:tcPr>
            <w:tcW w:w="6624" w:type="dxa"/>
            <w:shd w:val="clear" w:color="auto" w:fill="FFFFFF"/>
            <w:tcMar>
              <w:top w:w="120" w:type="dxa"/>
              <w:left w:w="120" w:type="dxa"/>
              <w:bottom w:w="120" w:type="dxa"/>
              <w:right w:w="120" w:type="dxa"/>
            </w:tcMar>
            <w:vAlign w:val="center"/>
          </w:tcPr>
          <w:p w14:paraId="39AFDF25" w14:textId="77777777" w:rsidR="009F7118" w:rsidRDefault="00000000">
            <w:pPr>
              <w:spacing w:after="20"/>
            </w:pPr>
            <w:r>
              <w:rPr>
                <w:sz w:val="17"/>
              </w:rPr>
              <w:t>Track health, failure, latency, access, policy events, and security posture.</w:t>
            </w:r>
          </w:p>
        </w:tc>
      </w:tr>
    </w:tbl>
    <w:p w14:paraId="2CD7025A" w14:textId="77777777" w:rsidR="009F7118" w:rsidRDefault="009F7118">
      <w:pPr>
        <w:spacing w:after="20"/>
      </w:pPr>
    </w:p>
    <w:p w14:paraId="4F81F735" w14:textId="77777777" w:rsidR="009F7118" w:rsidRDefault="00000000">
      <w:pPr>
        <w:pStyle w:val="Heading2"/>
      </w:pPr>
      <w:r>
        <w:t>Deployment Model Language to Lock In</w:t>
      </w:r>
    </w:p>
    <w:p w14:paraId="47F59527" w14:textId="77777777" w:rsidR="009F7118" w:rsidRDefault="00000000">
      <w:pPr>
        <w:spacing w:after="120" w:line="269" w:lineRule="auto"/>
      </w:pPr>
      <w:r>
        <w:t>DRE is intended to be deployable within a customer-controlled Azure environment or another clearly defined customer-resident configuration. Final investor and customer language should identify the precise operating model once established, including who operates the control plane, where transaction data is processed, what telemetry leaves the environment, and which party controls keys, identities, logs, and upgrades.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259"/>
        <w:gridCol w:w="9720"/>
      </w:tblGrid>
      <w:tr w:rsidR="009F7118" w14:paraId="6C038975" w14:textId="77777777">
        <w:trPr>
          <w:jc w:val="center"/>
        </w:trPr>
        <w:tc>
          <w:tcPr>
            <w:tcW w:w="259" w:type="dxa"/>
            <w:shd w:val="clear" w:color="auto" w:fill="D95F02"/>
          </w:tcPr>
          <w:p w14:paraId="3367DE66" w14:textId="77777777" w:rsidR="009F7118" w:rsidRDefault="009F7118"/>
        </w:tc>
        <w:tc>
          <w:tcPr>
            <w:tcW w:w="9720" w:type="dxa"/>
            <w:shd w:val="clear" w:color="auto" w:fill="FFF4E5"/>
            <w:tcMar>
              <w:top w:w="160" w:type="dxa"/>
              <w:left w:w="160" w:type="dxa"/>
              <w:bottom w:w="160" w:type="dxa"/>
              <w:right w:w="160" w:type="dxa"/>
            </w:tcMar>
          </w:tcPr>
          <w:p w14:paraId="32CBB1BE" w14:textId="77777777" w:rsidR="009F7118" w:rsidRDefault="00000000">
            <w:pPr>
              <w:spacing w:after="60"/>
            </w:pPr>
            <w:r>
              <w:rPr>
                <w:b/>
                <w:color w:val="12233F"/>
                <w:sz w:val="22"/>
              </w:rPr>
              <w:t>CLAIM DISCIPLINE</w:t>
            </w:r>
          </w:p>
          <w:p w14:paraId="4B6E92D3" w14:textId="77777777" w:rsidR="009F7118" w:rsidRDefault="00000000">
            <w:pPr>
              <w:spacing w:after="40" w:line="259" w:lineRule="auto"/>
            </w:pPr>
            <w:r>
              <w:t>Use “designed for customer-controlled deployment,” “private connectivity,” and “human-governed review” unless the finished implementation and contract support stronger statements. Avoid absolute promises such as “zero data leaves,” “100% compliance,” or “zero hallucinations.”</w:t>
            </w:r>
          </w:p>
        </w:tc>
      </w:tr>
    </w:tbl>
    <w:p w14:paraId="5EBD416B" w14:textId="77777777" w:rsidR="009F7118" w:rsidRDefault="00000000">
      <w:pPr>
        <w:pStyle w:val="Heading1"/>
      </w:pPr>
      <w:r>
        <w:t>Business Model and Go-to-Market Thesis</w:t>
      </w:r>
    </w:p>
    <w:p w14:paraId="1D837FB6" w14:textId="77777777" w:rsidR="009F7118" w:rsidRDefault="00000000">
      <w:pPr>
        <w:spacing w:after="120" w:line="269" w:lineRule="auto"/>
      </w:pPr>
      <w:r>
        <w:t>The commercial proposition is revenue protection rather than generic automation. A law firm can evaluate DRE against observable operating events: entries quarantined before submission, policy issues corrected, unsupported charges removed or clarified, rework avoided, review effort, and billing value preserved after authorized disposition.</w:t>
      </w:r>
    </w:p>
    <w:p w14:paraId="58C73ACA" w14:textId="77777777" w:rsidR="009F7118" w:rsidRDefault="00000000">
      <w:pPr>
        <w:pStyle w:val="Heading2"/>
      </w:pPr>
      <w:r>
        <w:t>Initial Buyer and User Set</w:t>
      </w:r>
    </w:p>
    <w:p w14:paraId="6E2730C5" w14:textId="77777777" w:rsidR="009F7118" w:rsidRDefault="00000000">
      <w:pPr>
        <w:pStyle w:val="ListBullet"/>
        <w:spacing w:after="60"/>
        <w:ind w:left="317"/>
      </w:pPr>
      <w:r>
        <w:t>Law-firm finance and billing leadership responsible for realization, collections, and billing controls.</w:t>
      </w:r>
    </w:p>
    <w:p w14:paraId="7086EA27" w14:textId="77777777" w:rsidR="009F7118" w:rsidRDefault="00000000">
      <w:pPr>
        <w:pStyle w:val="ListBullet"/>
        <w:spacing w:after="60"/>
        <w:ind w:left="317"/>
      </w:pPr>
      <w:r>
        <w:t>Billing attorneys and practice leaders accountable for client-specific compliance.</w:t>
      </w:r>
    </w:p>
    <w:p w14:paraId="02D1CC4A" w14:textId="77777777" w:rsidR="009F7118" w:rsidRDefault="00000000">
      <w:pPr>
        <w:pStyle w:val="ListBullet"/>
        <w:spacing w:after="60"/>
        <w:ind w:left="317"/>
      </w:pPr>
      <w:r>
        <w:t>Revenue operations, legal operations, and e-billing teams managing OCG rules and exceptions.</w:t>
      </w:r>
    </w:p>
    <w:p w14:paraId="4596D892" w14:textId="77777777" w:rsidR="009F7118" w:rsidRDefault="00000000">
      <w:pPr>
        <w:pStyle w:val="ListBullet"/>
        <w:spacing w:after="60"/>
        <w:ind w:left="317"/>
      </w:pPr>
      <w:r>
        <w:t>Security, technology, and risk stakeholders responsible for deployment and data governance.</w:t>
      </w:r>
    </w:p>
    <w:p w14:paraId="46FF40E4" w14:textId="77777777" w:rsidR="009F7118" w:rsidRDefault="00000000">
      <w:pPr>
        <w:pStyle w:val="ListBullet"/>
        <w:spacing w:after="60"/>
        <w:ind w:left="317"/>
      </w:pPr>
      <w:r>
        <w:t>Authorized human reviewers who make the final decision on quarantined transactions.</w:t>
      </w:r>
    </w:p>
    <w:p w14:paraId="4969523B" w14:textId="77777777" w:rsidR="009F7118" w:rsidRDefault="00000000">
      <w:pPr>
        <w:pStyle w:val="Heading2"/>
      </w:pPr>
      <w:r>
        <w:t>Commercial Entry Strategy</w:t>
      </w:r>
    </w:p>
    <w:tbl>
      <w:tblPr>
        <w:tblStyle w:val="TableGrid"/>
        <w:tblW w:w="0" w:type="auto"/>
        <w:jc w:val="center"/>
        <w:tblLayout w:type="fixed"/>
        <w:tblLook w:val="04A0" w:firstRow="1" w:lastRow="0" w:firstColumn="1" w:lastColumn="0" w:noHBand="0" w:noVBand="1"/>
      </w:tblPr>
      <w:tblGrid>
        <w:gridCol w:w="864"/>
        <w:gridCol w:w="8784"/>
      </w:tblGrid>
      <w:tr w:rsidR="009F7118" w14:paraId="74C6DFA3" w14:textId="77777777">
        <w:trPr>
          <w:jc w:val="center"/>
        </w:trPr>
        <w:tc>
          <w:tcPr>
            <w:tcW w:w="864" w:type="dxa"/>
            <w:shd w:val="clear" w:color="auto" w:fill="12233F"/>
            <w:tcMar>
              <w:top w:w="120" w:type="dxa"/>
              <w:left w:w="120" w:type="dxa"/>
              <w:bottom w:w="120" w:type="dxa"/>
              <w:right w:w="120" w:type="dxa"/>
            </w:tcMar>
          </w:tcPr>
          <w:p w14:paraId="68846E62" w14:textId="77777777" w:rsidR="009F7118" w:rsidRDefault="00000000">
            <w:pPr>
              <w:jc w:val="center"/>
            </w:pPr>
            <w:r>
              <w:rPr>
                <w:b/>
                <w:color w:val="FFFFFF"/>
                <w:sz w:val="18"/>
              </w:rPr>
              <w:t>Step</w:t>
            </w:r>
          </w:p>
        </w:tc>
        <w:tc>
          <w:tcPr>
            <w:tcW w:w="8784" w:type="dxa"/>
            <w:shd w:val="clear" w:color="auto" w:fill="12233F"/>
            <w:tcMar>
              <w:top w:w="120" w:type="dxa"/>
              <w:left w:w="120" w:type="dxa"/>
              <w:bottom w:w="120" w:type="dxa"/>
              <w:right w:w="120" w:type="dxa"/>
            </w:tcMar>
          </w:tcPr>
          <w:p w14:paraId="3B8B9459" w14:textId="77777777" w:rsidR="009F7118" w:rsidRDefault="00000000">
            <w:pPr>
              <w:jc w:val="center"/>
            </w:pPr>
            <w:r>
              <w:rPr>
                <w:b/>
                <w:color w:val="FFFFFF"/>
                <w:sz w:val="18"/>
              </w:rPr>
              <w:t>Strategy</w:t>
            </w:r>
          </w:p>
        </w:tc>
      </w:tr>
      <w:tr w:rsidR="009F7118" w14:paraId="556888E7" w14:textId="77777777">
        <w:trPr>
          <w:jc w:val="center"/>
        </w:trPr>
        <w:tc>
          <w:tcPr>
            <w:tcW w:w="864" w:type="dxa"/>
            <w:shd w:val="clear" w:color="auto" w:fill="F5F8FC"/>
            <w:tcMar>
              <w:top w:w="120" w:type="dxa"/>
              <w:left w:w="120" w:type="dxa"/>
              <w:bottom w:w="120" w:type="dxa"/>
              <w:right w:w="120" w:type="dxa"/>
            </w:tcMar>
            <w:vAlign w:val="center"/>
          </w:tcPr>
          <w:p w14:paraId="0C7E7118" w14:textId="77777777" w:rsidR="009F7118" w:rsidRDefault="00000000">
            <w:pPr>
              <w:spacing w:after="20"/>
            </w:pPr>
            <w:r>
              <w:rPr>
                <w:sz w:val="17"/>
              </w:rPr>
              <w:t>1</w:t>
            </w:r>
          </w:p>
        </w:tc>
        <w:tc>
          <w:tcPr>
            <w:tcW w:w="8784" w:type="dxa"/>
            <w:shd w:val="clear" w:color="auto" w:fill="F5F8FC"/>
            <w:tcMar>
              <w:top w:w="120" w:type="dxa"/>
              <w:left w:w="120" w:type="dxa"/>
              <w:bottom w:w="120" w:type="dxa"/>
              <w:right w:w="120" w:type="dxa"/>
            </w:tcMar>
            <w:vAlign w:val="center"/>
          </w:tcPr>
          <w:p w14:paraId="69C56960" w14:textId="77777777" w:rsidR="009F7118" w:rsidRDefault="00000000">
            <w:pPr>
              <w:spacing w:after="20"/>
            </w:pPr>
            <w:r>
              <w:rPr>
                <w:sz w:val="17"/>
              </w:rPr>
              <w:t>Start with one controlled pre-billing workflow and prove the audit record before expansion.</w:t>
            </w:r>
          </w:p>
        </w:tc>
      </w:tr>
      <w:tr w:rsidR="009F7118" w14:paraId="684AF638" w14:textId="77777777">
        <w:trPr>
          <w:jc w:val="center"/>
        </w:trPr>
        <w:tc>
          <w:tcPr>
            <w:tcW w:w="864" w:type="dxa"/>
            <w:shd w:val="clear" w:color="auto" w:fill="FFFFFF"/>
            <w:tcMar>
              <w:top w:w="120" w:type="dxa"/>
              <w:left w:w="120" w:type="dxa"/>
              <w:bottom w:w="120" w:type="dxa"/>
              <w:right w:w="120" w:type="dxa"/>
            </w:tcMar>
            <w:vAlign w:val="center"/>
          </w:tcPr>
          <w:p w14:paraId="2658D784" w14:textId="77777777" w:rsidR="009F7118" w:rsidRDefault="00000000">
            <w:pPr>
              <w:spacing w:after="20"/>
            </w:pPr>
            <w:r>
              <w:rPr>
                <w:sz w:val="17"/>
              </w:rPr>
              <w:t>2</w:t>
            </w:r>
          </w:p>
        </w:tc>
        <w:tc>
          <w:tcPr>
            <w:tcW w:w="8784" w:type="dxa"/>
            <w:shd w:val="clear" w:color="auto" w:fill="FFFFFF"/>
            <w:tcMar>
              <w:top w:w="120" w:type="dxa"/>
              <w:left w:w="120" w:type="dxa"/>
              <w:bottom w:w="120" w:type="dxa"/>
              <w:right w:w="120" w:type="dxa"/>
            </w:tcMar>
            <w:vAlign w:val="center"/>
          </w:tcPr>
          <w:p w14:paraId="3950B560" w14:textId="77777777" w:rsidR="009F7118" w:rsidRDefault="00000000">
            <w:pPr>
              <w:spacing w:after="20"/>
            </w:pPr>
            <w:r>
              <w:rPr>
                <w:sz w:val="17"/>
              </w:rPr>
              <w:t>Translate selected client-specific OCG requirements into versioned, testable controls.</w:t>
            </w:r>
          </w:p>
        </w:tc>
      </w:tr>
      <w:tr w:rsidR="009F7118" w14:paraId="5DE0D3E5" w14:textId="77777777">
        <w:trPr>
          <w:jc w:val="center"/>
        </w:trPr>
        <w:tc>
          <w:tcPr>
            <w:tcW w:w="864" w:type="dxa"/>
            <w:shd w:val="clear" w:color="auto" w:fill="F5F8FC"/>
            <w:tcMar>
              <w:top w:w="120" w:type="dxa"/>
              <w:left w:w="120" w:type="dxa"/>
              <w:bottom w:w="120" w:type="dxa"/>
              <w:right w:w="120" w:type="dxa"/>
            </w:tcMar>
            <w:vAlign w:val="center"/>
          </w:tcPr>
          <w:p w14:paraId="1ED4B416" w14:textId="77777777" w:rsidR="009F7118" w:rsidRDefault="00000000">
            <w:pPr>
              <w:spacing w:after="20"/>
            </w:pPr>
            <w:r>
              <w:rPr>
                <w:sz w:val="17"/>
              </w:rPr>
              <w:t>3</w:t>
            </w:r>
          </w:p>
        </w:tc>
        <w:tc>
          <w:tcPr>
            <w:tcW w:w="8784" w:type="dxa"/>
            <w:shd w:val="clear" w:color="auto" w:fill="F5F8FC"/>
            <w:tcMar>
              <w:top w:w="120" w:type="dxa"/>
              <w:left w:w="120" w:type="dxa"/>
              <w:bottom w:w="120" w:type="dxa"/>
              <w:right w:w="120" w:type="dxa"/>
            </w:tcMar>
            <w:vAlign w:val="center"/>
          </w:tcPr>
          <w:p w14:paraId="610D7F7D" w14:textId="77777777" w:rsidR="009F7118" w:rsidRDefault="00000000">
            <w:pPr>
              <w:spacing w:after="20"/>
            </w:pPr>
            <w:r>
              <w:rPr>
                <w:sz w:val="17"/>
              </w:rPr>
              <w:t>Report observed issues, approved corrections, review effort, and resulting financial effect.</w:t>
            </w:r>
          </w:p>
        </w:tc>
      </w:tr>
      <w:tr w:rsidR="009F7118" w14:paraId="59426FAB" w14:textId="77777777">
        <w:trPr>
          <w:jc w:val="center"/>
        </w:trPr>
        <w:tc>
          <w:tcPr>
            <w:tcW w:w="864" w:type="dxa"/>
            <w:shd w:val="clear" w:color="auto" w:fill="FFFFFF"/>
            <w:tcMar>
              <w:top w:w="120" w:type="dxa"/>
              <w:left w:w="120" w:type="dxa"/>
              <w:bottom w:w="120" w:type="dxa"/>
              <w:right w:w="120" w:type="dxa"/>
            </w:tcMar>
            <w:vAlign w:val="center"/>
          </w:tcPr>
          <w:p w14:paraId="152DF134" w14:textId="77777777" w:rsidR="009F7118" w:rsidRDefault="00000000">
            <w:pPr>
              <w:spacing w:after="20"/>
            </w:pPr>
            <w:r>
              <w:rPr>
                <w:sz w:val="17"/>
              </w:rPr>
              <w:t>4</w:t>
            </w:r>
          </w:p>
        </w:tc>
        <w:tc>
          <w:tcPr>
            <w:tcW w:w="8784" w:type="dxa"/>
            <w:shd w:val="clear" w:color="auto" w:fill="FFFFFF"/>
            <w:tcMar>
              <w:top w:w="120" w:type="dxa"/>
              <w:left w:w="120" w:type="dxa"/>
              <w:bottom w:w="120" w:type="dxa"/>
              <w:right w:w="120" w:type="dxa"/>
            </w:tcMar>
            <w:vAlign w:val="center"/>
          </w:tcPr>
          <w:p w14:paraId="1E8B18C8" w14:textId="77777777" w:rsidR="009F7118" w:rsidRDefault="00000000">
            <w:pPr>
              <w:spacing w:after="20"/>
            </w:pPr>
            <w:r>
              <w:rPr>
                <w:sz w:val="17"/>
              </w:rPr>
              <w:t>Expand by client, matter, or practice based on demonstrated control performance.</w:t>
            </w:r>
          </w:p>
        </w:tc>
      </w:tr>
      <w:tr w:rsidR="009F7118" w14:paraId="0EA1FF7E" w14:textId="77777777">
        <w:trPr>
          <w:jc w:val="center"/>
        </w:trPr>
        <w:tc>
          <w:tcPr>
            <w:tcW w:w="864" w:type="dxa"/>
            <w:shd w:val="clear" w:color="auto" w:fill="F5F8FC"/>
            <w:tcMar>
              <w:top w:w="120" w:type="dxa"/>
              <w:left w:w="120" w:type="dxa"/>
              <w:bottom w:w="120" w:type="dxa"/>
              <w:right w:w="120" w:type="dxa"/>
            </w:tcMar>
            <w:vAlign w:val="center"/>
          </w:tcPr>
          <w:p w14:paraId="64C2EA1B" w14:textId="77777777" w:rsidR="009F7118" w:rsidRDefault="00000000">
            <w:pPr>
              <w:spacing w:after="20"/>
            </w:pPr>
            <w:r>
              <w:rPr>
                <w:sz w:val="17"/>
              </w:rPr>
              <w:t>5</w:t>
            </w:r>
          </w:p>
        </w:tc>
        <w:tc>
          <w:tcPr>
            <w:tcW w:w="8784" w:type="dxa"/>
            <w:shd w:val="clear" w:color="auto" w:fill="F5F8FC"/>
            <w:tcMar>
              <w:top w:w="120" w:type="dxa"/>
              <w:left w:w="120" w:type="dxa"/>
              <w:bottom w:w="120" w:type="dxa"/>
              <w:right w:w="120" w:type="dxa"/>
            </w:tcMar>
            <w:vAlign w:val="center"/>
          </w:tcPr>
          <w:p w14:paraId="249BF8BC" w14:textId="77777777" w:rsidR="009F7118" w:rsidRDefault="00000000">
            <w:pPr>
              <w:spacing w:after="20"/>
            </w:pPr>
            <w:r>
              <w:rPr>
                <w:sz w:val="17"/>
              </w:rPr>
              <w:t>Prepare for Microsoft ecosystem routes after the product and enterprise documentation meet applicable requirements.</w:t>
            </w:r>
          </w:p>
        </w:tc>
      </w:tr>
    </w:tbl>
    <w:p w14:paraId="77D34B47" w14:textId="77777777" w:rsidR="009F7118" w:rsidRDefault="009F7118">
      <w:pPr>
        <w:spacing w:after="20"/>
      </w:pPr>
    </w:p>
    <w:p w14:paraId="7FFBE012" w14:textId="77777777" w:rsidR="009F7118" w:rsidRDefault="00000000">
      <w:pPr>
        <w:pStyle w:val="Heading2"/>
      </w:pPr>
      <w:r>
        <w:t>Potential Revenue Structure</w:t>
      </w:r>
    </w:p>
    <w:p w14:paraId="7CD00759" w14:textId="77777777" w:rsidR="009F7118" w:rsidRDefault="00000000">
      <w:pPr>
        <w:spacing w:after="120" w:line="269" w:lineRule="auto"/>
      </w:pPr>
      <w:r>
        <w:t>The final pricing model has not been locked in. Investor positioning can frame possible structures without presenting them as commitments: enterprise subscription, deployment and configuration fees, usage-linked processing, managed policy-pack updates, and premium governance or reporting modules.</w:t>
      </w:r>
    </w:p>
    <w:p w14:paraId="53B6E86D" w14:textId="77777777" w:rsidR="009F7118" w:rsidRDefault="00000000">
      <w:pPr>
        <w:pStyle w:val="Heading1"/>
      </w:pPr>
      <w:r>
        <w:t>Defensibility</w:t>
      </w:r>
    </w:p>
    <w:p w14:paraId="2AFF8A9F" w14:textId="77777777" w:rsidR="009F7118" w:rsidRDefault="00000000">
      <w:pPr>
        <w:pStyle w:val="ListBullet"/>
        <w:spacing w:after="60"/>
        <w:ind w:left="317"/>
      </w:pPr>
      <w:r>
        <w:t>A deterministic rules layer that converts client policy into testable, versioned controls.</w:t>
      </w:r>
    </w:p>
    <w:p w14:paraId="2875B441" w14:textId="77777777" w:rsidR="009F7118" w:rsidRDefault="00000000">
      <w:pPr>
        <w:pStyle w:val="ListBullet"/>
        <w:spacing w:after="60"/>
        <w:ind w:left="317"/>
      </w:pPr>
      <w:r>
        <w:t>A transaction-level evidence model connecting schema, policy, financial, client, and authorized performance context.</w:t>
      </w:r>
    </w:p>
    <w:p w14:paraId="4690E7D2" w14:textId="77777777" w:rsidR="009F7118" w:rsidRDefault="00000000">
      <w:pPr>
        <w:pStyle w:val="ListBullet"/>
        <w:spacing w:after="60"/>
        <w:ind w:left="317"/>
      </w:pPr>
      <w:r>
        <w:t>A repeated 3-by-3 consensus record for exceptions rather than a single AI response.</w:t>
      </w:r>
    </w:p>
    <w:p w14:paraId="401A44B2" w14:textId="77777777" w:rsidR="009F7118" w:rsidRDefault="00000000">
      <w:pPr>
        <w:pStyle w:val="ListBullet"/>
        <w:spacing w:after="60"/>
        <w:ind w:left="317"/>
      </w:pPr>
      <w:r>
        <w:t>A referee synthesis layer that highlights disagreement and prepares human review.</w:t>
      </w:r>
    </w:p>
    <w:p w14:paraId="4ACA3F99" w14:textId="77777777" w:rsidR="009F7118" w:rsidRDefault="00000000">
      <w:pPr>
        <w:pStyle w:val="ListBullet"/>
        <w:spacing w:after="60"/>
        <w:ind w:left="317"/>
      </w:pPr>
      <w:r>
        <w:t>A growing library of governed policy patterns, exception histories, and disposition outcomes.</w:t>
      </w:r>
    </w:p>
    <w:p w14:paraId="4BF6AFBE" w14:textId="77777777" w:rsidR="009F7118" w:rsidRDefault="00000000">
      <w:pPr>
        <w:pStyle w:val="ListBullet"/>
        <w:spacing w:after="60"/>
        <w:ind w:left="317"/>
      </w:pPr>
      <w:r>
        <w:t>Deployment patterns designed for enterprise identity, isolation, audit, and customer control.</w:t>
      </w:r>
    </w:p>
    <w:p w14:paraId="51C0D9B9" w14:textId="77777777" w:rsidR="009F7118" w:rsidRDefault="00000000">
      <w:pPr>
        <w:pStyle w:val="Heading1"/>
      </w:pPr>
      <w:r>
        <w:t>What Is Being Built</w:t>
      </w:r>
    </w:p>
    <w:p w14:paraId="6E6D75E8" w14:textId="77777777" w:rsidR="009F7118" w:rsidRDefault="00000000">
      <w:pPr>
        <w:spacing w:after="120" w:line="269" w:lineRule="auto"/>
      </w:pPr>
      <w:r>
        <w:t>DRE is a pre-build independent software project with a defined product concept, processing model, legal launch use case, Azure direction, and working technical illustrations. It should be presented as active development, not as a currently deployed production platform or finished commercial product.</w:t>
      </w:r>
    </w:p>
    <w:tbl>
      <w:tblPr>
        <w:tblStyle w:val="TableGrid"/>
        <w:tblW w:w="0" w:type="auto"/>
        <w:jc w:val="center"/>
        <w:tblLayout w:type="fixed"/>
        <w:tblLook w:val="04A0" w:firstRow="1" w:lastRow="0" w:firstColumn="1" w:lastColumn="0" w:noHBand="0" w:noVBand="1"/>
      </w:tblPr>
      <w:tblGrid>
        <w:gridCol w:w="576"/>
        <w:gridCol w:w="2232"/>
        <w:gridCol w:w="6840"/>
      </w:tblGrid>
      <w:tr w:rsidR="009F7118" w14:paraId="2C880186" w14:textId="77777777">
        <w:trPr>
          <w:jc w:val="center"/>
        </w:trPr>
        <w:tc>
          <w:tcPr>
            <w:tcW w:w="576" w:type="dxa"/>
            <w:shd w:val="clear" w:color="auto" w:fill="12233F"/>
            <w:tcMar>
              <w:top w:w="120" w:type="dxa"/>
              <w:left w:w="120" w:type="dxa"/>
              <w:bottom w:w="120" w:type="dxa"/>
              <w:right w:w="120" w:type="dxa"/>
            </w:tcMar>
          </w:tcPr>
          <w:p w14:paraId="78512E1A" w14:textId="77777777" w:rsidR="009F7118" w:rsidRDefault="00000000">
            <w:pPr>
              <w:jc w:val="center"/>
            </w:pPr>
            <w:r>
              <w:rPr>
                <w:b/>
                <w:color w:val="FFFFFF"/>
                <w:sz w:val="18"/>
              </w:rPr>
              <w:t>#</w:t>
            </w:r>
          </w:p>
        </w:tc>
        <w:tc>
          <w:tcPr>
            <w:tcW w:w="2232" w:type="dxa"/>
            <w:shd w:val="clear" w:color="auto" w:fill="12233F"/>
            <w:tcMar>
              <w:top w:w="120" w:type="dxa"/>
              <w:left w:w="120" w:type="dxa"/>
              <w:bottom w:w="120" w:type="dxa"/>
              <w:right w:w="120" w:type="dxa"/>
            </w:tcMar>
          </w:tcPr>
          <w:p w14:paraId="5D62A024" w14:textId="77777777" w:rsidR="009F7118" w:rsidRDefault="00000000">
            <w:pPr>
              <w:jc w:val="center"/>
            </w:pPr>
            <w:r>
              <w:rPr>
                <w:b/>
                <w:color w:val="FFFFFF"/>
                <w:sz w:val="18"/>
              </w:rPr>
              <w:t>Priority</w:t>
            </w:r>
          </w:p>
        </w:tc>
        <w:tc>
          <w:tcPr>
            <w:tcW w:w="6840" w:type="dxa"/>
            <w:shd w:val="clear" w:color="auto" w:fill="12233F"/>
            <w:tcMar>
              <w:top w:w="120" w:type="dxa"/>
              <w:left w:w="120" w:type="dxa"/>
              <w:bottom w:w="120" w:type="dxa"/>
              <w:right w:w="120" w:type="dxa"/>
            </w:tcMar>
          </w:tcPr>
          <w:p w14:paraId="2BA6794B" w14:textId="77777777" w:rsidR="009F7118" w:rsidRDefault="00000000">
            <w:pPr>
              <w:jc w:val="center"/>
            </w:pPr>
            <w:r>
              <w:rPr>
                <w:b/>
                <w:color w:val="FFFFFF"/>
                <w:sz w:val="18"/>
              </w:rPr>
              <w:t>Output</w:t>
            </w:r>
          </w:p>
        </w:tc>
      </w:tr>
      <w:tr w:rsidR="009F7118" w14:paraId="2F6C67B5" w14:textId="77777777">
        <w:trPr>
          <w:jc w:val="center"/>
        </w:trPr>
        <w:tc>
          <w:tcPr>
            <w:tcW w:w="576" w:type="dxa"/>
            <w:shd w:val="clear" w:color="auto" w:fill="F5F8FC"/>
            <w:tcMar>
              <w:top w:w="120" w:type="dxa"/>
              <w:left w:w="120" w:type="dxa"/>
              <w:bottom w:w="120" w:type="dxa"/>
              <w:right w:w="120" w:type="dxa"/>
            </w:tcMar>
            <w:vAlign w:val="center"/>
          </w:tcPr>
          <w:p w14:paraId="78AF2BE5" w14:textId="77777777" w:rsidR="009F7118" w:rsidRDefault="00000000">
            <w:pPr>
              <w:spacing w:after="20"/>
            </w:pPr>
            <w:r>
              <w:rPr>
                <w:sz w:val="17"/>
              </w:rPr>
              <w:t>1</w:t>
            </w:r>
          </w:p>
        </w:tc>
        <w:tc>
          <w:tcPr>
            <w:tcW w:w="2232" w:type="dxa"/>
            <w:shd w:val="clear" w:color="auto" w:fill="F5F8FC"/>
            <w:tcMar>
              <w:top w:w="120" w:type="dxa"/>
              <w:left w:w="120" w:type="dxa"/>
              <w:bottom w:w="120" w:type="dxa"/>
              <w:right w:w="120" w:type="dxa"/>
            </w:tcMar>
            <w:vAlign w:val="center"/>
          </w:tcPr>
          <w:p w14:paraId="7333F590" w14:textId="77777777" w:rsidR="009F7118" w:rsidRDefault="00000000">
            <w:pPr>
              <w:spacing w:after="20"/>
            </w:pPr>
            <w:r>
              <w:rPr>
                <w:sz w:val="17"/>
              </w:rPr>
              <w:t>Language and rules model</w:t>
            </w:r>
          </w:p>
        </w:tc>
        <w:tc>
          <w:tcPr>
            <w:tcW w:w="6840" w:type="dxa"/>
            <w:shd w:val="clear" w:color="auto" w:fill="F5F8FC"/>
            <w:tcMar>
              <w:top w:w="120" w:type="dxa"/>
              <w:left w:w="120" w:type="dxa"/>
              <w:bottom w:w="120" w:type="dxa"/>
              <w:right w:w="120" w:type="dxa"/>
            </w:tcMar>
            <w:vAlign w:val="center"/>
          </w:tcPr>
          <w:p w14:paraId="2B607B71" w14:textId="77777777" w:rsidR="009F7118" w:rsidRDefault="00000000">
            <w:pPr>
              <w:spacing w:after="20"/>
            </w:pPr>
            <w:r>
              <w:rPr>
                <w:sz w:val="17"/>
              </w:rPr>
              <w:t>Lock the canonical product description, transaction states, policy vocabulary, and audit terminology.</w:t>
            </w:r>
          </w:p>
        </w:tc>
      </w:tr>
      <w:tr w:rsidR="009F7118" w14:paraId="32EC1402" w14:textId="77777777">
        <w:trPr>
          <w:jc w:val="center"/>
        </w:trPr>
        <w:tc>
          <w:tcPr>
            <w:tcW w:w="576" w:type="dxa"/>
            <w:shd w:val="clear" w:color="auto" w:fill="FFFFFF"/>
            <w:tcMar>
              <w:top w:w="120" w:type="dxa"/>
              <w:left w:w="120" w:type="dxa"/>
              <w:bottom w:w="120" w:type="dxa"/>
              <w:right w:w="120" w:type="dxa"/>
            </w:tcMar>
            <w:vAlign w:val="center"/>
          </w:tcPr>
          <w:p w14:paraId="6CD3536F" w14:textId="77777777" w:rsidR="009F7118" w:rsidRDefault="00000000">
            <w:pPr>
              <w:spacing w:after="20"/>
            </w:pPr>
            <w:r>
              <w:rPr>
                <w:sz w:val="17"/>
              </w:rPr>
              <w:t>2</w:t>
            </w:r>
          </w:p>
        </w:tc>
        <w:tc>
          <w:tcPr>
            <w:tcW w:w="2232" w:type="dxa"/>
            <w:shd w:val="clear" w:color="auto" w:fill="FFFFFF"/>
            <w:tcMar>
              <w:top w:w="120" w:type="dxa"/>
              <w:left w:w="120" w:type="dxa"/>
              <w:bottom w:w="120" w:type="dxa"/>
              <w:right w:w="120" w:type="dxa"/>
            </w:tcMar>
            <w:vAlign w:val="center"/>
          </w:tcPr>
          <w:p w14:paraId="0234AA83" w14:textId="77777777" w:rsidR="009F7118" w:rsidRDefault="00000000">
            <w:pPr>
              <w:spacing w:after="20"/>
            </w:pPr>
            <w:r>
              <w:rPr>
                <w:sz w:val="17"/>
              </w:rPr>
              <w:t>Deterministic engine</w:t>
            </w:r>
          </w:p>
        </w:tc>
        <w:tc>
          <w:tcPr>
            <w:tcW w:w="6840" w:type="dxa"/>
            <w:shd w:val="clear" w:color="auto" w:fill="FFFFFF"/>
            <w:tcMar>
              <w:top w:w="120" w:type="dxa"/>
              <w:left w:w="120" w:type="dxa"/>
              <w:bottom w:w="120" w:type="dxa"/>
              <w:right w:w="120" w:type="dxa"/>
            </w:tcMar>
            <w:vAlign w:val="center"/>
          </w:tcPr>
          <w:p w14:paraId="397E0755" w14:textId="77777777" w:rsidR="009F7118" w:rsidRDefault="00000000">
            <w:pPr>
              <w:spacing w:after="20"/>
            </w:pPr>
            <w:r>
              <w:rPr>
                <w:sz w:val="17"/>
              </w:rPr>
              <w:t>Implement schema validation, policy evaluation, contextual checks, routing, and immutable event records.</w:t>
            </w:r>
          </w:p>
        </w:tc>
      </w:tr>
      <w:tr w:rsidR="009F7118" w14:paraId="3F3717A4" w14:textId="77777777">
        <w:trPr>
          <w:jc w:val="center"/>
        </w:trPr>
        <w:tc>
          <w:tcPr>
            <w:tcW w:w="576" w:type="dxa"/>
            <w:shd w:val="clear" w:color="auto" w:fill="F5F8FC"/>
            <w:tcMar>
              <w:top w:w="120" w:type="dxa"/>
              <w:left w:w="120" w:type="dxa"/>
              <w:bottom w:w="120" w:type="dxa"/>
              <w:right w:w="120" w:type="dxa"/>
            </w:tcMar>
            <w:vAlign w:val="center"/>
          </w:tcPr>
          <w:p w14:paraId="25C87030" w14:textId="77777777" w:rsidR="009F7118" w:rsidRDefault="00000000">
            <w:pPr>
              <w:spacing w:after="20"/>
            </w:pPr>
            <w:r>
              <w:rPr>
                <w:sz w:val="17"/>
              </w:rPr>
              <w:t>3</w:t>
            </w:r>
          </w:p>
        </w:tc>
        <w:tc>
          <w:tcPr>
            <w:tcW w:w="2232" w:type="dxa"/>
            <w:shd w:val="clear" w:color="auto" w:fill="F5F8FC"/>
            <w:tcMar>
              <w:top w:w="120" w:type="dxa"/>
              <w:left w:w="120" w:type="dxa"/>
              <w:bottom w:w="120" w:type="dxa"/>
              <w:right w:w="120" w:type="dxa"/>
            </w:tcMar>
            <w:vAlign w:val="center"/>
          </w:tcPr>
          <w:p w14:paraId="1584A4A7" w14:textId="77777777" w:rsidR="009F7118" w:rsidRDefault="00000000">
            <w:pPr>
              <w:spacing w:after="20"/>
            </w:pPr>
            <w:r>
              <w:rPr>
                <w:sz w:val="17"/>
              </w:rPr>
              <w:t>Quarantine and consensus</w:t>
            </w:r>
          </w:p>
        </w:tc>
        <w:tc>
          <w:tcPr>
            <w:tcW w:w="6840" w:type="dxa"/>
            <w:shd w:val="clear" w:color="auto" w:fill="F5F8FC"/>
            <w:tcMar>
              <w:top w:w="120" w:type="dxa"/>
              <w:left w:w="120" w:type="dxa"/>
              <w:bottom w:w="120" w:type="dxa"/>
              <w:right w:w="120" w:type="dxa"/>
            </w:tcMar>
            <w:vAlign w:val="center"/>
          </w:tcPr>
          <w:p w14:paraId="1CAD4B86" w14:textId="77777777" w:rsidR="009F7118" w:rsidRDefault="00000000">
            <w:pPr>
              <w:spacing w:after="20"/>
            </w:pPr>
            <w:r>
              <w:rPr>
                <w:sz w:val="17"/>
              </w:rPr>
              <w:t>Implement the three-agent, three-round workflow and referee synthesis with traceability.</w:t>
            </w:r>
          </w:p>
        </w:tc>
      </w:tr>
      <w:tr w:rsidR="009F7118" w14:paraId="4B5B5388" w14:textId="77777777">
        <w:trPr>
          <w:jc w:val="center"/>
        </w:trPr>
        <w:tc>
          <w:tcPr>
            <w:tcW w:w="576" w:type="dxa"/>
            <w:shd w:val="clear" w:color="auto" w:fill="FFFFFF"/>
            <w:tcMar>
              <w:top w:w="120" w:type="dxa"/>
              <w:left w:w="120" w:type="dxa"/>
              <w:bottom w:w="120" w:type="dxa"/>
              <w:right w:w="120" w:type="dxa"/>
            </w:tcMar>
            <w:vAlign w:val="center"/>
          </w:tcPr>
          <w:p w14:paraId="3F92BEC0" w14:textId="77777777" w:rsidR="009F7118" w:rsidRDefault="00000000">
            <w:pPr>
              <w:spacing w:after="20"/>
            </w:pPr>
            <w:r>
              <w:rPr>
                <w:sz w:val="17"/>
              </w:rPr>
              <w:t>4</w:t>
            </w:r>
          </w:p>
        </w:tc>
        <w:tc>
          <w:tcPr>
            <w:tcW w:w="2232" w:type="dxa"/>
            <w:shd w:val="clear" w:color="auto" w:fill="FFFFFF"/>
            <w:tcMar>
              <w:top w:w="120" w:type="dxa"/>
              <w:left w:w="120" w:type="dxa"/>
              <w:bottom w:w="120" w:type="dxa"/>
              <w:right w:w="120" w:type="dxa"/>
            </w:tcMar>
            <w:vAlign w:val="center"/>
          </w:tcPr>
          <w:p w14:paraId="7BACB339" w14:textId="77777777" w:rsidR="009F7118" w:rsidRDefault="00000000">
            <w:pPr>
              <w:spacing w:after="20"/>
            </w:pPr>
            <w:r>
              <w:rPr>
                <w:sz w:val="17"/>
              </w:rPr>
              <w:t>Human review</w:t>
            </w:r>
          </w:p>
        </w:tc>
        <w:tc>
          <w:tcPr>
            <w:tcW w:w="6840" w:type="dxa"/>
            <w:shd w:val="clear" w:color="auto" w:fill="FFFFFF"/>
            <w:tcMar>
              <w:top w:w="120" w:type="dxa"/>
              <w:left w:w="120" w:type="dxa"/>
              <w:bottom w:w="120" w:type="dxa"/>
              <w:right w:w="120" w:type="dxa"/>
            </w:tcMar>
            <w:vAlign w:val="center"/>
          </w:tcPr>
          <w:p w14:paraId="2B648BFE" w14:textId="77777777" w:rsidR="009F7118" w:rsidRDefault="00000000">
            <w:pPr>
              <w:spacing w:after="20"/>
            </w:pPr>
            <w:r>
              <w:rPr>
                <w:sz w:val="17"/>
              </w:rPr>
              <w:t>Create the reviewer experience, evidence presentation, authorization model, and controlled disposition actions.</w:t>
            </w:r>
          </w:p>
        </w:tc>
      </w:tr>
      <w:tr w:rsidR="009F7118" w14:paraId="626D801A" w14:textId="77777777">
        <w:trPr>
          <w:jc w:val="center"/>
        </w:trPr>
        <w:tc>
          <w:tcPr>
            <w:tcW w:w="576" w:type="dxa"/>
            <w:shd w:val="clear" w:color="auto" w:fill="F5F8FC"/>
            <w:tcMar>
              <w:top w:w="120" w:type="dxa"/>
              <w:left w:w="120" w:type="dxa"/>
              <w:bottom w:w="120" w:type="dxa"/>
              <w:right w:w="120" w:type="dxa"/>
            </w:tcMar>
            <w:vAlign w:val="center"/>
          </w:tcPr>
          <w:p w14:paraId="09A07475" w14:textId="77777777" w:rsidR="009F7118" w:rsidRDefault="00000000">
            <w:pPr>
              <w:spacing w:after="20"/>
            </w:pPr>
            <w:r>
              <w:rPr>
                <w:sz w:val="17"/>
              </w:rPr>
              <w:t>5</w:t>
            </w:r>
          </w:p>
        </w:tc>
        <w:tc>
          <w:tcPr>
            <w:tcW w:w="2232" w:type="dxa"/>
            <w:shd w:val="clear" w:color="auto" w:fill="F5F8FC"/>
            <w:tcMar>
              <w:top w:w="120" w:type="dxa"/>
              <w:left w:w="120" w:type="dxa"/>
              <w:bottom w:w="120" w:type="dxa"/>
              <w:right w:w="120" w:type="dxa"/>
            </w:tcMar>
            <w:vAlign w:val="center"/>
          </w:tcPr>
          <w:p w14:paraId="6BA05D21" w14:textId="77777777" w:rsidR="009F7118" w:rsidRDefault="00000000">
            <w:pPr>
              <w:spacing w:after="20"/>
            </w:pPr>
            <w:r>
              <w:rPr>
                <w:sz w:val="17"/>
              </w:rPr>
              <w:t>Integration boundary</w:t>
            </w:r>
          </w:p>
        </w:tc>
        <w:tc>
          <w:tcPr>
            <w:tcW w:w="6840" w:type="dxa"/>
            <w:shd w:val="clear" w:color="auto" w:fill="F5F8FC"/>
            <w:tcMar>
              <w:top w:w="120" w:type="dxa"/>
              <w:left w:w="120" w:type="dxa"/>
              <w:bottom w:w="120" w:type="dxa"/>
              <w:right w:w="120" w:type="dxa"/>
            </w:tcMar>
            <w:vAlign w:val="center"/>
          </w:tcPr>
          <w:p w14:paraId="0221B6C6" w14:textId="77777777" w:rsidR="009F7118" w:rsidRDefault="00000000">
            <w:pPr>
              <w:spacing w:after="20"/>
            </w:pPr>
            <w:r>
              <w:rPr>
                <w:sz w:val="17"/>
              </w:rPr>
              <w:t>Define adapters for structured intake and controlled output to downstream billing environments.</w:t>
            </w:r>
          </w:p>
        </w:tc>
      </w:tr>
      <w:tr w:rsidR="009F7118" w14:paraId="573BCE52" w14:textId="77777777">
        <w:trPr>
          <w:jc w:val="center"/>
        </w:trPr>
        <w:tc>
          <w:tcPr>
            <w:tcW w:w="576" w:type="dxa"/>
            <w:shd w:val="clear" w:color="auto" w:fill="FFFFFF"/>
            <w:tcMar>
              <w:top w:w="120" w:type="dxa"/>
              <w:left w:w="120" w:type="dxa"/>
              <w:bottom w:w="120" w:type="dxa"/>
              <w:right w:w="120" w:type="dxa"/>
            </w:tcMar>
            <w:vAlign w:val="center"/>
          </w:tcPr>
          <w:p w14:paraId="1DD84BCD" w14:textId="77777777" w:rsidR="009F7118" w:rsidRDefault="00000000">
            <w:pPr>
              <w:spacing w:after="20"/>
            </w:pPr>
            <w:r>
              <w:rPr>
                <w:sz w:val="17"/>
              </w:rPr>
              <w:t>6</w:t>
            </w:r>
          </w:p>
        </w:tc>
        <w:tc>
          <w:tcPr>
            <w:tcW w:w="2232" w:type="dxa"/>
            <w:shd w:val="clear" w:color="auto" w:fill="FFFFFF"/>
            <w:tcMar>
              <w:top w:w="120" w:type="dxa"/>
              <w:left w:w="120" w:type="dxa"/>
              <w:bottom w:w="120" w:type="dxa"/>
              <w:right w:w="120" w:type="dxa"/>
            </w:tcMar>
            <w:vAlign w:val="center"/>
          </w:tcPr>
          <w:p w14:paraId="0DE0C69A" w14:textId="77777777" w:rsidR="009F7118" w:rsidRDefault="00000000">
            <w:pPr>
              <w:spacing w:after="20"/>
            </w:pPr>
            <w:r>
              <w:rPr>
                <w:sz w:val="17"/>
              </w:rPr>
              <w:t>Enterprise controls</w:t>
            </w:r>
          </w:p>
        </w:tc>
        <w:tc>
          <w:tcPr>
            <w:tcW w:w="6840" w:type="dxa"/>
            <w:shd w:val="clear" w:color="auto" w:fill="FFFFFF"/>
            <w:tcMar>
              <w:top w:w="120" w:type="dxa"/>
              <w:left w:w="120" w:type="dxa"/>
              <w:bottom w:w="120" w:type="dxa"/>
              <w:right w:w="120" w:type="dxa"/>
            </w:tcMar>
            <w:vAlign w:val="center"/>
          </w:tcPr>
          <w:p w14:paraId="032FAE3B" w14:textId="77777777" w:rsidR="009F7118" w:rsidRDefault="00000000">
            <w:pPr>
              <w:spacing w:after="20"/>
            </w:pPr>
            <w:r>
              <w:rPr>
                <w:sz w:val="17"/>
              </w:rPr>
              <w:t>Implement identity, secrets, private connectivity, monitoring, retention, and deployment governance.</w:t>
            </w:r>
          </w:p>
        </w:tc>
      </w:tr>
      <w:tr w:rsidR="009F7118" w14:paraId="2D421F68" w14:textId="77777777">
        <w:trPr>
          <w:jc w:val="center"/>
        </w:trPr>
        <w:tc>
          <w:tcPr>
            <w:tcW w:w="576" w:type="dxa"/>
            <w:shd w:val="clear" w:color="auto" w:fill="F5F8FC"/>
            <w:tcMar>
              <w:top w:w="120" w:type="dxa"/>
              <w:left w:w="120" w:type="dxa"/>
              <w:bottom w:w="120" w:type="dxa"/>
              <w:right w:w="120" w:type="dxa"/>
            </w:tcMar>
            <w:vAlign w:val="center"/>
          </w:tcPr>
          <w:p w14:paraId="2C67052C" w14:textId="77777777" w:rsidR="009F7118" w:rsidRDefault="00000000">
            <w:pPr>
              <w:spacing w:after="20"/>
            </w:pPr>
            <w:r>
              <w:rPr>
                <w:sz w:val="17"/>
              </w:rPr>
              <w:t>7</w:t>
            </w:r>
          </w:p>
        </w:tc>
        <w:tc>
          <w:tcPr>
            <w:tcW w:w="2232" w:type="dxa"/>
            <w:shd w:val="clear" w:color="auto" w:fill="F5F8FC"/>
            <w:tcMar>
              <w:top w:w="120" w:type="dxa"/>
              <w:left w:w="120" w:type="dxa"/>
              <w:bottom w:w="120" w:type="dxa"/>
              <w:right w:w="120" w:type="dxa"/>
            </w:tcMar>
            <w:vAlign w:val="center"/>
          </w:tcPr>
          <w:p w14:paraId="073E2A40" w14:textId="77777777" w:rsidR="009F7118" w:rsidRDefault="00000000">
            <w:pPr>
              <w:spacing w:after="20"/>
            </w:pPr>
            <w:r>
              <w:rPr>
                <w:sz w:val="17"/>
              </w:rPr>
              <w:t>Measured pilot</w:t>
            </w:r>
          </w:p>
        </w:tc>
        <w:tc>
          <w:tcPr>
            <w:tcW w:w="6840" w:type="dxa"/>
            <w:shd w:val="clear" w:color="auto" w:fill="F5F8FC"/>
            <w:tcMar>
              <w:top w:w="120" w:type="dxa"/>
              <w:left w:w="120" w:type="dxa"/>
              <w:bottom w:w="120" w:type="dxa"/>
              <w:right w:w="120" w:type="dxa"/>
            </w:tcMar>
            <w:vAlign w:val="center"/>
          </w:tcPr>
          <w:p w14:paraId="76E794BD" w14:textId="77777777" w:rsidR="009F7118" w:rsidRDefault="00000000">
            <w:pPr>
              <w:spacing w:after="20"/>
            </w:pPr>
            <w:r>
              <w:rPr>
                <w:sz w:val="17"/>
              </w:rPr>
              <w:t>Run authorized sample or pilot transactions and report observed control and financial outcomes.</w:t>
            </w:r>
          </w:p>
        </w:tc>
      </w:tr>
      <w:tr w:rsidR="009F7118" w14:paraId="23881C65" w14:textId="77777777">
        <w:trPr>
          <w:jc w:val="center"/>
        </w:trPr>
        <w:tc>
          <w:tcPr>
            <w:tcW w:w="576" w:type="dxa"/>
            <w:shd w:val="clear" w:color="auto" w:fill="FFFFFF"/>
            <w:tcMar>
              <w:top w:w="120" w:type="dxa"/>
              <w:left w:w="120" w:type="dxa"/>
              <w:bottom w:w="120" w:type="dxa"/>
              <w:right w:w="120" w:type="dxa"/>
            </w:tcMar>
            <w:vAlign w:val="center"/>
          </w:tcPr>
          <w:p w14:paraId="5CBB9F4A" w14:textId="77777777" w:rsidR="009F7118" w:rsidRDefault="00000000">
            <w:pPr>
              <w:spacing w:after="20"/>
            </w:pPr>
            <w:r>
              <w:rPr>
                <w:sz w:val="17"/>
              </w:rPr>
              <w:t>8</w:t>
            </w:r>
          </w:p>
        </w:tc>
        <w:tc>
          <w:tcPr>
            <w:tcW w:w="2232" w:type="dxa"/>
            <w:shd w:val="clear" w:color="auto" w:fill="FFFFFF"/>
            <w:tcMar>
              <w:top w:w="120" w:type="dxa"/>
              <w:left w:w="120" w:type="dxa"/>
              <w:bottom w:w="120" w:type="dxa"/>
              <w:right w:w="120" w:type="dxa"/>
            </w:tcMar>
            <w:vAlign w:val="center"/>
          </w:tcPr>
          <w:p w14:paraId="24DAB0CD" w14:textId="77777777" w:rsidR="009F7118" w:rsidRDefault="00000000">
            <w:pPr>
              <w:spacing w:after="20"/>
            </w:pPr>
            <w:r>
              <w:rPr>
                <w:sz w:val="17"/>
              </w:rPr>
              <w:t>Commercial packaging</w:t>
            </w:r>
          </w:p>
        </w:tc>
        <w:tc>
          <w:tcPr>
            <w:tcW w:w="6840" w:type="dxa"/>
            <w:shd w:val="clear" w:color="auto" w:fill="FFFFFF"/>
            <w:tcMar>
              <w:top w:w="120" w:type="dxa"/>
              <w:left w:w="120" w:type="dxa"/>
              <w:bottom w:w="120" w:type="dxa"/>
              <w:right w:w="120" w:type="dxa"/>
            </w:tcMar>
            <w:vAlign w:val="center"/>
          </w:tcPr>
          <w:p w14:paraId="74BD76EB" w14:textId="77777777" w:rsidR="009F7118" w:rsidRDefault="00000000">
            <w:pPr>
              <w:spacing w:after="20"/>
            </w:pPr>
            <w:r>
              <w:rPr>
                <w:sz w:val="17"/>
              </w:rPr>
              <w:t>Finalize pricing, support, deployment responsibility, Marketplace materials, and investor data room content.</w:t>
            </w:r>
          </w:p>
        </w:tc>
      </w:tr>
    </w:tbl>
    <w:p w14:paraId="37B60E75" w14:textId="77777777" w:rsidR="009F7118" w:rsidRDefault="009F7118">
      <w:pPr>
        <w:spacing w:after="20"/>
      </w:pPr>
    </w:p>
    <w:p w14:paraId="5E556815" w14:textId="77777777" w:rsidR="009F7118" w:rsidRDefault="00000000">
      <w:pPr>
        <w:pStyle w:val="Heading2"/>
      </w:pPr>
      <w:r>
        <w:t>Known Decisions to Preserve</w:t>
      </w:r>
    </w:p>
    <w:p w14:paraId="0D86D5B5" w14:textId="77777777" w:rsidR="009F7118" w:rsidRDefault="00000000">
      <w:pPr>
        <w:pStyle w:val="ListBullet"/>
        <w:spacing w:after="60"/>
        <w:ind w:left="317"/>
      </w:pPr>
      <w:r>
        <w:t>Product name: DRE or Dr. E, meaning Deterministic Review Engine.</w:t>
      </w:r>
    </w:p>
    <w:p w14:paraId="08C13FB3" w14:textId="77777777" w:rsidR="009F7118" w:rsidRDefault="00000000">
      <w:pPr>
        <w:pStyle w:val="ListBullet"/>
        <w:spacing w:after="60"/>
        <w:ind w:left="317"/>
      </w:pPr>
      <w:r>
        <w:t>Proprietor: Jamie Lynn Schallert.</w:t>
      </w:r>
    </w:p>
    <w:p w14:paraId="78B55951" w14:textId="77777777" w:rsidR="009F7118" w:rsidRDefault="00000000">
      <w:pPr>
        <w:pStyle w:val="ListBullet"/>
        <w:spacing w:after="60"/>
        <w:ind w:left="317"/>
      </w:pPr>
      <w:r>
        <w:t>Venture identity: independent software venture.</w:t>
      </w:r>
    </w:p>
    <w:p w14:paraId="60306778" w14:textId="77777777" w:rsidR="009F7118" w:rsidRDefault="00000000">
      <w:pPr>
        <w:pStyle w:val="ListBullet"/>
        <w:spacing w:after="60"/>
        <w:ind w:left="317"/>
      </w:pPr>
      <w:r>
        <w:t>Initial market: legal pre-billing and Outside Counsel Guidelines enforcement.</w:t>
      </w:r>
    </w:p>
    <w:p w14:paraId="3BFE47ED" w14:textId="77777777" w:rsidR="009F7118" w:rsidRDefault="00000000">
      <w:pPr>
        <w:pStyle w:val="ListBullet"/>
        <w:spacing w:after="60"/>
        <w:ind w:left="317"/>
      </w:pPr>
      <w:r>
        <w:t>Primary control model: deterministic schema and policy evaluation using relevant financial, client, and authorized performance context.</w:t>
      </w:r>
    </w:p>
    <w:p w14:paraId="251A2711" w14:textId="77777777" w:rsidR="009F7118" w:rsidRDefault="00000000">
      <w:pPr>
        <w:pStyle w:val="ListBullet"/>
        <w:spacing w:after="60"/>
        <w:ind w:left="317"/>
      </w:pPr>
      <w:r>
        <w:t>Exception model: three agents across three rounds, followed by referee-node consolidation and human review.</w:t>
      </w:r>
    </w:p>
    <w:p w14:paraId="77597417" w14:textId="77777777" w:rsidR="009F7118" w:rsidRDefault="00000000">
      <w:pPr>
        <w:pStyle w:val="ListBullet"/>
        <w:spacing w:after="60"/>
        <w:ind w:left="317"/>
      </w:pPr>
      <w:r>
        <w:t>Authority model: the system recommends; an authorized human makes the final disposition.</w:t>
      </w:r>
    </w:p>
    <w:p w14:paraId="3DC78A0C" w14:textId="77777777" w:rsidR="009F7118" w:rsidRDefault="00000000">
      <w:pPr>
        <w:pStyle w:val="Heading1"/>
      </w:pPr>
      <w:r>
        <w:t>Investor Case</w:t>
      </w:r>
    </w:p>
    <w:p w14:paraId="2B07B338" w14:textId="77777777" w:rsidR="009F7118" w:rsidRDefault="00000000">
      <w:pPr>
        <w:spacing w:after="120" w:line="269" w:lineRule="auto"/>
      </w:pPr>
      <w:r>
        <w:t>DRE is built around a clear asymmetry. A billing defect may be inexpensive to detect before submission but costly to remediate after it travels through review, invoicing, client audit, dispute, reduction, and collection. The product’s wedge is to move that control point earlier while giving firms a defensible record of how each questioned transaction was handled.</w:t>
      </w:r>
    </w:p>
    <w:p w14:paraId="61734269" w14:textId="77777777" w:rsidR="009F7118" w:rsidRDefault="00000000">
      <w:pPr>
        <w:pStyle w:val="Heading2"/>
      </w:pPr>
      <w:r>
        <w:t>Why This Can Become a Platform</w:t>
      </w:r>
    </w:p>
    <w:p w14:paraId="1DC79289" w14:textId="77777777" w:rsidR="009F7118" w:rsidRDefault="00000000">
      <w:pPr>
        <w:spacing w:after="120" w:line="269" w:lineRule="auto"/>
      </w:pPr>
      <w:r>
        <w:t>The legal product is not merely a narrative rewriter. The underlying engine governs structured transactions through an ordered system of validation, policy context, quarantine, repeated consensus, referee synthesis, and human disposition. That architecture can support additional legal transaction controls over time without abandoning the deterministic-first principle.</w:t>
      </w:r>
    </w:p>
    <w:p w14:paraId="0C4D43D3" w14:textId="77777777" w:rsidR="009F7118" w:rsidRDefault="00000000">
      <w:pPr>
        <w:pStyle w:val="Heading2"/>
      </w:pPr>
      <w:r>
        <w:t>What Investors Should Evaluate</w:t>
      </w:r>
    </w:p>
    <w:p w14:paraId="0B2FB605" w14:textId="77777777" w:rsidR="009F7118" w:rsidRDefault="00000000">
      <w:pPr>
        <w:pStyle w:val="ListBullet"/>
        <w:spacing w:after="60"/>
        <w:ind w:left="317"/>
      </w:pPr>
      <w:r>
        <w:t>Whether DRE can translate real OCG requirements into accurate, maintainable controls.</w:t>
      </w:r>
    </w:p>
    <w:p w14:paraId="4066926B" w14:textId="77777777" w:rsidR="009F7118" w:rsidRDefault="00000000">
      <w:pPr>
        <w:pStyle w:val="ListBullet"/>
        <w:spacing w:after="60"/>
        <w:ind w:left="317"/>
      </w:pPr>
      <w:r>
        <w:t>Whether the quarantine system catches meaningful exceptions without overwhelming reviewers.</w:t>
      </w:r>
    </w:p>
    <w:p w14:paraId="3A0BD9FB" w14:textId="77777777" w:rsidR="009F7118" w:rsidRDefault="00000000">
      <w:pPr>
        <w:pStyle w:val="ListBullet"/>
        <w:spacing w:after="60"/>
        <w:ind w:left="317"/>
      </w:pPr>
      <w:r>
        <w:t>Whether repeated consensus improves exception analysis enough to justify cost and latency.</w:t>
      </w:r>
    </w:p>
    <w:p w14:paraId="73B6341E" w14:textId="77777777" w:rsidR="009F7118" w:rsidRDefault="00000000">
      <w:pPr>
        <w:pStyle w:val="ListBullet"/>
        <w:spacing w:after="60"/>
        <w:ind w:left="317"/>
      </w:pPr>
      <w:r>
        <w:t>Whether the referee output gives humans a clearer and more defensible decision record.</w:t>
      </w:r>
    </w:p>
    <w:p w14:paraId="2FFA5D1C" w14:textId="77777777" w:rsidR="009F7118" w:rsidRDefault="00000000">
      <w:pPr>
        <w:pStyle w:val="ListBullet"/>
        <w:spacing w:after="60"/>
        <w:ind w:left="317"/>
      </w:pPr>
      <w:r>
        <w:t>Whether integration can occur without forcing a firm to replace its core billing platform.</w:t>
      </w:r>
    </w:p>
    <w:p w14:paraId="32D2B88A" w14:textId="77777777" w:rsidR="009F7118" w:rsidRDefault="00000000">
      <w:pPr>
        <w:pStyle w:val="ListBullet"/>
        <w:spacing w:after="60"/>
        <w:ind w:left="317"/>
      </w:pPr>
      <w:r>
        <w:t>Whether pilots demonstrate measurable improvement in first-pass billing quality, review effort, and approved financial outcomes.</w:t>
      </w:r>
    </w:p>
    <w:p w14:paraId="58FE56E8" w14:textId="77777777" w:rsidR="009F7118" w:rsidRDefault="00000000">
      <w:pPr>
        <w:pStyle w:val="ListBullet"/>
        <w:spacing w:after="60"/>
        <w:ind w:left="317"/>
      </w:pPr>
      <w:r>
        <w:t>Whether deployment, governance, and support can satisfy enterprise legal buyers.</w:t>
      </w:r>
    </w:p>
    <w:p w14:paraId="3058D4C7" w14:textId="77777777" w:rsidR="009F7118" w:rsidRDefault="00000000">
      <w:pPr>
        <w:pStyle w:val="Heading2"/>
      </w:pPr>
      <w:r>
        <w:t>The Ask</w:t>
      </w:r>
    </w:p>
    <w:p w14:paraId="5AE7AF9B" w14:textId="77777777" w:rsidR="009F7118" w:rsidRDefault="00000000">
      <w:pPr>
        <w:spacing w:after="120" w:line="269" w:lineRule="auto"/>
      </w:pPr>
      <w:r>
        <w:t>DRE is seeking aligned investors, early design partners, and enterprise advisors who understand legal billing, revenue operations, Azure deployment, and controlled AI systems. The immediate objective is to convert a defined operating model into a production-quality legal pre-billing product, validate it against authorized real-world workflows, and establish a repeatable path to enterprise deployment.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259"/>
        <w:gridCol w:w="9720"/>
      </w:tblGrid>
      <w:tr w:rsidR="009F7118" w14:paraId="2632E4E0" w14:textId="77777777">
        <w:trPr>
          <w:jc w:val="center"/>
        </w:trPr>
        <w:tc>
          <w:tcPr>
            <w:tcW w:w="259" w:type="dxa"/>
            <w:shd w:val="clear" w:color="auto" w:fill="238636"/>
          </w:tcPr>
          <w:p w14:paraId="0548BAEF" w14:textId="77777777" w:rsidR="009F7118" w:rsidRDefault="009F7118"/>
        </w:tc>
        <w:tc>
          <w:tcPr>
            <w:tcW w:w="9720" w:type="dxa"/>
            <w:shd w:val="clear" w:color="auto" w:fill="EAF6EC"/>
            <w:tcMar>
              <w:top w:w="160" w:type="dxa"/>
              <w:left w:w="160" w:type="dxa"/>
              <w:bottom w:w="160" w:type="dxa"/>
              <w:right w:w="160" w:type="dxa"/>
            </w:tcMar>
          </w:tcPr>
          <w:p w14:paraId="52380C55" w14:textId="77777777" w:rsidR="009F7118" w:rsidRDefault="00000000">
            <w:pPr>
              <w:spacing w:after="60"/>
            </w:pPr>
            <w:r>
              <w:rPr>
                <w:b/>
                <w:color w:val="12233F"/>
                <w:sz w:val="22"/>
              </w:rPr>
              <w:t>THE BOTTOM LINE</w:t>
            </w:r>
          </w:p>
          <w:p w14:paraId="4B3E0AD8" w14:textId="77777777" w:rsidR="009F7118" w:rsidRDefault="00000000">
            <w:pPr>
              <w:spacing w:after="40" w:line="259" w:lineRule="auto"/>
            </w:pPr>
            <w:r>
              <w:t>DRE is not trying to replace legal judgment with AI. It is building a revenue protection gateway that applies deterministic controls first, reserves repeated multi-agent analysis for quarantined exceptions, and keeps the final decision with an authorized human.</w:t>
            </w:r>
          </w:p>
        </w:tc>
      </w:tr>
    </w:tbl>
    <w:p w14:paraId="09832824" w14:textId="77777777" w:rsidR="009F7118" w:rsidRDefault="00000000">
      <w:pPr>
        <w:pStyle w:val="Heading2"/>
      </w:pPr>
      <w:r>
        <w:t>Website-Ready Closing Copy</w:t>
      </w:r>
    </w:p>
    <w:p w14:paraId="07A79A7D" w14:textId="77777777" w:rsidR="009F7118" w:rsidRDefault="00000000">
      <w:pPr>
        <w:spacing w:after="120" w:line="269" w:lineRule="auto"/>
      </w:pPr>
      <w:r>
        <w:t>DRE brings discipline to the point where legal work becomes a billable transaction. It checks structure, applies the correct client policy, considers the authorized financial and performance context, and separates clear outcomes from exceptions. When judgment is required, DRE does not rely on a single AI answer. It runs three agents across three rounds, consolidates the record through a referee node, and presents the result for human review. The goal is simple: find preventable billing problems earlier, preserve the evidence behind every decision, and protect revenue without surrendering control.</w:t>
      </w:r>
    </w:p>
    <w:p w14:paraId="43DE63BC" w14:textId="77777777" w:rsidR="009F7118" w:rsidRDefault="00000000">
      <w:pPr>
        <w:pStyle w:val="Heading2"/>
      </w:pPr>
      <w:r>
        <w:t>Disclosure</w:t>
      </w:r>
    </w:p>
    <w:p w14:paraId="45A4F139" w14:textId="77777777" w:rsidR="009F7118" w:rsidRDefault="00000000">
      <w:pPr>
        <w:spacing w:after="120" w:line="269" w:lineRule="auto"/>
      </w:pPr>
      <w:r>
        <w:t>DRE is an independent software project in development. Product capabilities, deployment details, integrations, pricing, performance results, Marketplace availability, and commercial terms remain subject to implementation, testing, customer requirements, and final agreements. This document is product and investor positioning material, not a guarantee of compliance, savings, funding, Microsoft program status, or business results.</w:t>
      </w:r>
    </w:p>
    <w:sectPr w:rsidR="009F7118" w:rsidSect="00034616">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16E1D" w14:textId="77777777" w:rsidR="00474C42" w:rsidRDefault="00474C42">
      <w:pPr>
        <w:spacing w:after="0" w:line="240" w:lineRule="auto"/>
      </w:pPr>
      <w:r>
        <w:separator/>
      </w:r>
    </w:p>
  </w:endnote>
  <w:endnote w:type="continuationSeparator" w:id="0">
    <w:p w14:paraId="38E4B32E" w14:textId="77777777" w:rsidR="00474C42" w:rsidRDefault="00474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ECC54" w14:textId="77777777" w:rsidR="009F7118" w:rsidRDefault="00000000">
    <w:pPr>
      <w:pStyle w:val="Footer"/>
      <w:jc w:val="center"/>
    </w:pPr>
    <w:r>
      <w:rPr>
        <w:color w:val="5E6A78"/>
        <w:sz w:val="16"/>
      </w:rPr>
      <w:t xml:space="preserve">Confidential working </w:t>
    </w:r>
    <w:proofErr w:type="gramStart"/>
    <w:r>
      <w:rPr>
        <w:color w:val="5E6A78"/>
        <w:sz w:val="16"/>
      </w:rPr>
      <w:t>language  |</w:t>
    </w:r>
    <w:proofErr w:type="gramEnd"/>
    <w:r>
      <w:rPr>
        <w:color w:val="5E6A78"/>
        <w:sz w:val="16"/>
      </w:rPr>
      <w:t xml:space="preserve">  Jamie Lynn Schallert, Proprietor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7933A" w14:textId="77777777" w:rsidR="00474C42" w:rsidRDefault="00474C42">
      <w:pPr>
        <w:spacing w:after="0" w:line="240" w:lineRule="auto"/>
      </w:pPr>
      <w:r>
        <w:separator/>
      </w:r>
    </w:p>
  </w:footnote>
  <w:footnote w:type="continuationSeparator" w:id="0">
    <w:p w14:paraId="02A2FFCF" w14:textId="77777777" w:rsidR="00474C42" w:rsidRDefault="00474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A7E8A" w14:textId="77777777" w:rsidR="009F7118" w:rsidRDefault="00000000">
    <w:pPr>
      <w:pStyle w:val="Header"/>
      <w:jc w:val="right"/>
    </w:pPr>
    <w:proofErr w:type="gramStart"/>
    <w:r>
      <w:rPr>
        <w:b/>
        <w:color w:val="5E6A78"/>
        <w:sz w:val="16"/>
      </w:rPr>
      <w:t>DRE  |</w:t>
    </w:r>
    <w:proofErr w:type="gramEnd"/>
    <w:r>
      <w:rPr>
        <w:b/>
        <w:color w:val="5E6A78"/>
        <w:sz w:val="16"/>
      </w:rPr>
      <w:t xml:space="preserve">  INVESTOR OVERVIEW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89496996">
    <w:abstractNumId w:val="8"/>
  </w:num>
  <w:num w:numId="2" w16cid:durableId="812797711">
    <w:abstractNumId w:val="6"/>
  </w:num>
  <w:num w:numId="3" w16cid:durableId="1713074436">
    <w:abstractNumId w:val="5"/>
  </w:num>
  <w:num w:numId="4" w16cid:durableId="1598293360">
    <w:abstractNumId w:val="4"/>
  </w:num>
  <w:num w:numId="5" w16cid:durableId="1916433907">
    <w:abstractNumId w:val="7"/>
  </w:num>
  <w:num w:numId="6" w16cid:durableId="180970561">
    <w:abstractNumId w:val="3"/>
  </w:num>
  <w:num w:numId="7" w16cid:durableId="1993439066">
    <w:abstractNumId w:val="2"/>
  </w:num>
  <w:num w:numId="8" w16cid:durableId="553085267">
    <w:abstractNumId w:val="1"/>
  </w:num>
  <w:num w:numId="9" w16cid:durableId="2088653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236C"/>
    <w:rsid w:val="0029639D"/>
    <w:rsid w:val="00326F90"/>
    <w:rsid w:val="00390AFF"/>
    <w:rsid w:val="00474C42"/>
    <w:rsid w:val="009F7118"/>
    <w:rsid w:val="00AA1D8D"/>
    <w:rsid w:val="00B47730"/>
    <w:rsid w:val="00CB0664"/>
    <w:rsid w:val="00D4096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2A930E"/>
  <w14:defaultImageDpi w14:val="300"/>
  <w15:docId w15:val="{02002339-01F6-4BA2-8149-76E54A915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1B2430"/>
      <w:sz w:val="20"/>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color w:val="12233F"/>
      <w:sz w:val="3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b/>
      <w:bCs/>
      <w:color w:val="2764D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100" w:line="240" w:lineRule="auto"/>
      <w:contextualSpacing/>
    </w:pPr>
    <w:rPr>
      <w:rFonts w:asciiTheme="majorHAnsi" w:eastAsiaTheme="majorEastAsia" w:hAnsiTheme="majorHAnsi" w:cstheme="majorBidi"/>
      <w:b/>
      <w:color w:val="2764D8"/>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2740</Words>
  <Characters>15618</Characters>
  <Application>Microsoft Office Word</Application>
  <DocSecurity>0</DocSecurity>
  <Lines>130</Lines>
  <Paragraphs>36</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DRE Long-Form Investor Sales Sheet</vt:lpstr>
      <vt:lpstr>The Opportunity</vt:lpstr>
      <vt:lpstr>    The Product in One Sentence</vt:lpstr>
      <vt:lpstr>    What DRE Is Designed to Protect</vt:lpstr>
      <vt:lpstr>    Why the Wedge Is Legal Pre-Billing</vt:lpstr>
      <vt:lpstr>How DRE Works</vt:lpstr>
      <vt:lpstr>    The Deterministic Boundary</vt:lpstr>
      <vt:lpstr>The Multi-Agent Exception Boundary</vt:lpstr>
      <vt:lpstr>    Three Agents, Three Rounds, One Referee Recommendation</vt:lpstr>
      <vt:lpstr>    Why Repetition Matters</vt:lpstr>
      <vt:lpstr>    What AI Does and Does Not Do</vt:lpstr>
      <vt:lpstr>Illustrative Legal Workflow</vt:lpstr>
      <vt:lpstr>    Illustrative DRE Treatment</vt:lpstr>
      <vt:lpstr>Deployment Vision</vt:lpstr>
      <vt:lpstr>    Deployment Model Language to Lock In</vt:lpstr>
      <vt:lpstr>Business Model and Go-to-Market Thesis</vt:lpstr>
      <vt:lpstr>    Initial Buyer and User Set</vt:lpstr>
      <vt:lpstr>    Commercial Entry Strategy</vt:lpstr>
      <vt:lpstr>    Potential Revenue Structure</vt:lpstr>
      <vt:lpstr>Defensibility</vt:lpstr>
      <vt:lpstr>What Is Being Built</vt:lpstr>
      <vt:lpstr>    Known Decisions to Preserve</vt:lpstr>
      <vt:lpstr>Investor Case</vt:lpstr>
      <vt:lpstr>    Why This Can Become a Platform</vt:lpstr>
      <vt:lpstr>    What Investors Should Evaluate</vt:lpstr>
      <vt:lpstr>    The Ask</vt:lpstr>
      <vt:lpstr>    Website-Ready Closing Copy</vt:lpstr>
      <vt:lpstr>    Disclosure</vt:lpstr>
    </vt:vector>
  </TitlesOfParts>
  <Manager/>
  <Company/>
  <LinksUpToDate>false</LinksUpToDate>
  <CharactersWithSpaces>18322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 Long-Form Investor Sales Sheet</dc:title>
  <dc:subject>Investor overview with deterministic billing compliance infographic</dc:subject>
  <dc:creator>Jamie Schallert</dc:creator>
  <cp:keywords/>
  <dc:description/>
  <cp:lastModifiedBy>Jamie Lynn Schallert</cp:lastModifiedBy>
  <cp:revision>2</cp:revision>
  <dcterms:created xsi:type="dcterms:W3CDTF">2026-09-13T17:25:00Z</dcterms:created>
  <dcterms:modified xsi:type="dcterms:W3CDTF">2026-09-13T17:25:00Z</dcterms:modified>
  <cp:category/>
</cp:coreProperties>
</file>