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60"/>
      </w:pPr>
      <w:r>
        <w:rPr>
          <w:b/>
          <w:color w:val="2E7D7A"/>
          <w:sz w:val="20"/>
        </w:rPr>
        <w:t>ENGINEERED LAUNCH</w:t>
      </w:r>
    </w:p>
    <w:p>
      <w:pPr>
        <w:pStyle w:val="Title"/>
      </w:pPr>
      <w:r>
        <w:t>DRE Investor Memorandum</w:t>
      </w:r>
    </w:p>
    <w:p>
      <w:r>
        <w:rPr>
          <w:color w:val="1F5F8B"/>
          <w:sz w:val="30"/>
        </w:rPr>
        <w:t>Executive Investment Overview</w:t>
      </w:r>
    </w:p>
    <w:tbl>
      <w:tblPr>
        <w:tblW w:type="auto" w:w="0"/>
        <w:jc w:val="left"/>
        <w:tblLayout w:type="fixed"/>
        <w:tblLook w:firstColumn="1" w:firstRow="1" w:lastColumn="0" w:lastRow="0" w:noHBand="0" w:noVBand="1" w:val="04A0"/>
      </w:tblPr>
      <w:tblGrid>
        <w:gridCol w:w="8352"/>
      </w:tblGrid>
      <w:tr>
        <w:tc>
          <w:tcPr>
            <w:tcW w:type="dxa" w:w="9878"/>
            <w:shd w:fill="16324F"/>
            <w:vAlign w:val="center"/>
            <w:tcMar>
              <w:top w:w="120" w:type="dxa"/>
              <w:start w:w="120" w:type="dxa"/>
              <w:bottom w:w="120" w:type="dxa"/>
              <w:end w:w="120" w:type="dxa"/>
            </w:tcMar>
          </w:tcPr>
          <w:p>
            <w:pPr>
              <w:spacing w:after="0"/>
              <w:jc w:val="center"/>
            </w:pPr>
            <w:r/>
            <w:r>
              <w:rPr>
                <w:rFonts w:ascii="Aptos" w:hAnsi="Aptos"/>
                <w:b/>
                <w:color w:val="FFFFFF"/>
                <w:sz w:val="19"/>
              </w:rPr>
              <w:t>INVESTORS  •  ACCELERATORS  •  STRATEGIC PARTNERS</w:t>
            </w:r>
          </w:p>
        </w:tc>
      </w:tr>
    </w:tbl>
    <w:p>
      <w:pPr>
        <w:spacing w:before="3000"/>
      </w:pPr>
    </w:p>
    <w:p>
      <w:r>
        <w:rPr>
          <w:color w:val="5C6B76"/>
          <w:sz w:val="22"/>
        </w:rPr>
        <w:t>DRE / Dr. E — Deterministic Review Engine</w:t>
      </w:r>
    </w:p>
    <w:p>
      <w:r>
        <w:rPr>
          <w:color w:val="5C6B76"/>
          <w:sz w:val="18"/>
        </w:rPr>
        <w:t>Legal owner: Jamie Lynn Schallert / Engineered Launch</w:t>
      </w:r>
    </w:p>
    <w:p>
      <w:r>
        <w:br w:type="page"/>
      </w:r>
    </w:p>
    <w:p>
      <w:pPr>
        <w:pStyle w:val="Heading1"/>
      </w:pPr>
      <w:r>
        <w:t>Investment Thesis</w:t>
      </w:r>
    </w:p>
    <w:p>
      <w:r>
        <w:t>Corporate legal departments manage significant outside-counsel spend, and invoice review remains dependent on manual effort even where many billing questions are objective and repeatable. DRE is designed to automate objective review activities while preserving human authority over ambiguous or judgment-dependent decisions.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INVESTMENT PROPOSITION</w:t>
              <w:br/>
            </w:r>
            <w:r>
              <w:t>A focused legal-billing review platform rather than another broad legal-operations system.</w:t>
            </w:r>
          </w:p>
        </w:tc>
      </w:tr>
    </w:tbl>
    <w:p/>
    <w:p>
      <w:pPr>
        <w:pStyle w:val="Heading1"/>
      </w:pPr>
      <w:r>
        <w:t>Market Problem</w:t>
      </w:r>
    </w:p>
    <w:p>
      <w:pPr>
        <w:pStyle w:val="ListBullet"/>
        <w:spacing w:after="60"/>
        <w:ind w:left="360" w:hanging="230"/>
      </w:pPr>
      <w:r>
        <w:t>Invoice-review burden</w:t>
      </w:r>
    </w:p>
    <w:p>
      <w:pPr>
        <w:pStyle w:val="ListBullet"/>
        <w:spacing w:after="60"/>
        <w:ind w:left="360" w:hanging="230"/>
      </w:pPr>
      <w:r>
        <w:t>OCG enforcement difficulty</w:t>
      </w:r>
    </w:p>
    <w:p>
      <w:pPr>
        <w:pStyle w:val="ListBullet"/>
        <w:spacing w:after="60"/>
        <w:ind w:left="360" w:hanging="230"/>
      </w:pPr>
      <w:r>
        <w:t>Inconsistent review outcomes</w:t>
      </w:r>
    </w:p>
    <w:p>
      <w:pPr>
        <w:pStyle w:val="ListBullet"/>
        <w:spacing w:after="60"/>
        <w:ind w:left="360" w:hanging="230"/>
      </w:pPr>
      <w:r>
        <w:t>Operational overhead</w:t>
      </w:r>
    </w:p>
    <w:p>
      <w:pPr>
        <w:pStyle w:val="ListBullet"/>
        <w:spacing w:after="60"/>
        <w:ind w:left="360" w:hanging="230"/>
      </w:pPr>
      <w:r>
        <w:t>Reviewer workload</w:t>
      </w:r>
    </w:p>
    <w:p>
      <w:pPr>
        <w:pStyle w:val="ListBullet"/>
        <w:spacing w:after="60"/>
        <w:ind w:left="360" w:hanging="230"/>
      </w:pPr>
      <w:r>
        <w:t>Difficulty understanding why items were adjusted or escalated</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MARKET POSITION</w:t>
              <w:br/>
            </w:r>
            <w:r>
              <w:t>Review the bill. Do not replace the legal department.</w:t>
            </w:r>
          </w:p>
        </w:tc>
      </w:tr>
    </w:tbl>
    <w:p/>
    <w:p>
      <w:pPr>
        <w:pStyle w:val="Heading1"/>
      </w:pPr>
      <w:r>
        <w:t>Product</w:t>
      </w:r>
    </w:p>
    <w:p>
      <w:r>
        <w:t>DRE uses a three-layer architecture that separates objective controls, semantic interpretation, and authorized judgment.</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LAYER</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ROLE</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Deterministic Controls</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Apply explicit, repeatable policy rules first.</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Controlled Consensus</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Evaluate appropriate unresolved semantic exceptions.</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Human Authority</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Resolve matters requiring authorized judgment.</w:t>
            </w:r>
          </w:p>
        </w:tc>
      </w:tr>
    </w:tbl>
    <w:p/>
    <w:p>
      <w:pPr>
        <w:pStyle w:val="Heading1"/>
      </w:pPr>
      <w:r>
        <w:t>Customer Experience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PRODUCT SIMPLIFICATION</w:t>
              <w:br/>
            </w:r>
            <w:r>
              <w:t>One legal-billing file in. Two files out: PASSED CONSENSUS and HUMAN REVIEW.</w:t>
            </w:r>
          </w:p>
        </w:tc>
      </w:tr>
    </w:tbl>
    <w:p/>
    <w:p>
      <w:pPr>
        <w:pStyle w:val="Heading1"/>
      </w:pPr>
      <w:r>
        <w:t>Competitive Position</w:t>
      </w:r>
    </w:p>
    <w:p>
      <w:r>
        <w:t>Many legal-technology products compete by becoming larger. DRE competes by remaining focused. Its differentiation combines deterministic-first processing, explainability, controlled AI exception review, retained human authority, customer-owned Azure deployment, and coexistence with existing legal systems.</w:t>
      </w:r>
    </w:p>
    <w:p>
      <w:pPr>
        <w:pStyle w:val="Heading1"/>
      </w:pPr>
      <w:r>
        <w:t>Customer Value Proposition</w:t>
      </w:r>
    </w:p>
    <w:p>
      <w:pPr>
        <w:pStyle w:val="ListBullet"/>
        <w:spacing w:after="60"/>
        <w:ind w:left="360" w:hanging="230"/>
      </w:pPr>
      <w:r>
        <w:t>Reduced unnecessary manual review population</w:t>
      </w:r>
    </w:p>
    <w:p>
      <w:pPr>
        <w:pStyle w:val="ListBullet"/>
        <w:spacing w:after="60"/>
        <w:ind w:left="360" w:hanging="230"/>
      </w:pPr>
      <w:r>
        <w:t>More consistent policy application</w:t>
      </w:r>
    </w:p>
    <w:p>
      <w:pPr>
        <w:pStyle w:val="ListBullet"/>
        <w:spacing w:after="60"/>
        <w:ind w:left="360" w:hanging="230"/>
      </w:pPr>
      <w:r>
        <w:t>Improved auditability and explanation</w:t>
      </w:r>
    </w:p>
    <w:p>
      <w:pPr>
        <w:pStyle w:val="ListBullet"/>
        <w:spacing w:after="60"/>
        <w:ind w:left="360" w:hanging="230"/>
      </w:pPr>
      <w:r>
        <w:t>Preserved reviewer authority</w:t>
      </w:r>
    </w:p>
    <w:p>
      <w:pPr>
        <w:pStyle w:val="ListBullet"/>
        <w:spacing w:after="60"/>
        <w:ind w:left="360" w:hanging="230"/>
      </w:pPr>
      <w:r>
        <w:t>Customer-controlled deployment direction</w:t>
      </w:r>
    </w:p>
    <w:p>
      <w:pPr>
        <w:pStyle w:val="ListBullet"/>
        <w:spacing w:after="60"/>
        <w:ind w:left="360" w:hanging="230"/>
      </w:pPr>
      <w:r>
        <w:t>Existing-stack coexistence</w:t>
      </w:r>
    </w:p>
    <w:p>
      <w:pPr>
        <w:pStyle w:val="Heading1"/>
      </w:pPr>
      <w:r>
        <w:t>Technology and Product Evidence</w:t>
      </w:r>
    </w:p>
    <w:p>
      <w:pPr>
        <w:pStyle w:val="ListBullet"/>
        <w:spacing w:after="60"/>
        <w:ind w:left="360" w:hanging="230"/>
      </w:pPr>
      <w:r>
        <w:t>Deterministic billing-review engine</w:t>
      </w:r>
    </w:p>
    <w:p>
      <w:pPr>
        <w:pStyle w:val="ListBullet"/>
        <w:spacing w:after="60"/>
        <w:ind w:left="360" w:hanging="230"/>
      </w:pPr>
      <w:r>
        <w:t>Transaction orchestration</w:t>
      </w:r>
    </w:p>
    <w:p>
      <w:pPr>
        <w:pStyle w:val="ListBullet"/>
        <w:spacing w:after="60"/>
        <w:ind w:left="360" w:hanging="230"/>
      </w:pPr>
      <w:r>
        <w:t>Three-role consensus architecture</w:t>
      </w:r>
    </w:p>
    <w:p>
      <w:pPr>
        <w:pStyle w:val="ListBullet"/>
        <w:spacing w:after="60"/>
        <w:ind w:left="360" w:hanging="230"/>
      </w:pPr>
      <w:r>
        <w:t>Deterministic vote aggregation</w:t>
      </w:r>
    </w:p>
    <w:p>
      <w:pPr>
        <w:pStyle w:val="ListBullet"/>
        <w:spacing w:after="60"/>
        <w:ind w:left="360" w:hanging="230"/>
      </w:pPr>
      <w:r>
        <w:t>Audit-receipt structures</w:t>
      </w:r>
    </w:p>
    <w:p>
      <w:pPr>
        <w:pStyle w:val="ListBullet"/>
        <w:spacing w:after="60"/>
        <w:ind w:left="360" w:hanging="230"/>
      </w:pPr>
      <w:r>
        <w:t>Controlled AI-failure handling</w:t>
      </w:r>
    </w:p>
    <w:p>
      <w:pPr>
        <w:pStyle w:val="ListBullet"/>
        <w:spacing w:after="60"/>
        <w:ind w:left="360" w:hanging="230"/>
      </w:pPr>
      <w:r>
        <w:t>Synthetic legal-billing dataset</w:t>
      </w:r>
    </w:p>
    <w:p>
      <w:pPr>
        <w:pStyle w:val="ListBullet"/>
        <w:spacing w:after="60"/>
        <w:ind w:left="360" w:hanging="230"/>
      </w:pPr>
      <w:r>
        <w:t>Azure infrastructure definitions</w:t>
      </w:r>
    </w:p>
    <w:p>
      <w:pPr>
        <w:pStyle w:val="ListBullet"/>
        <w:spacing w:after="60"/>
        <w:ind w:left="360" w:hanging="230"/>
      </w:pPr>
      <w:r>
        <w:t>Infrastructure-validation methodology</w:t>
      </w:r>
    </w:p>
    <w:p>
      <w:pPr>
        <w:pStyle w:val="ListBullet"/>
        <w:spacing w:after="60"/>
        <w:ind w:left="360" w:hanging="230"/>
      </w:pPr>
      <w:r>
        <w:t>Substantive product and technical documentation</w:t>
      </w:r>
    </w:p>
    <w:p>
      <w:pPr>
        <w:pStyle w:val="ListBullet"/>
        <w:spacing w:after="60"/>
        <w:ind w:left="360" w:hanging="230"/>
      </w:pPr>
      <w:r>
        <w:t>Working demonstration under active development</w:t>
      </w:r>
    </w:p>
    <w:p>
      <w:pPr>
        <w:pStyle w:val="Heading1"/>
      </w:pPr>
      <w:r>
        <w:t>Current vs. Intended Architecture</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CURRENT FOUNDATION</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INTENDED EVOLUTION</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One parallel round of three differentiated agents followed by deterministic aggregation</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Multiple independent consensus rounds with referee synthesis and authorized human authority</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VNet, subnet, Key Vault, Cosmos DB account, and Azure OpenAI account with public access disabled</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Application runtime, private endpoints and DNS, managed identities, RBAC, messaging, data containers, model deployments, monitoring, retention, recovery, and validation</w:t>
            </w:r>
          </w:p>
        </w:tc>
      </w:tr>
    </w:tbl>
    <w:p/>
    <w:p>
      <w:pPr>
        <w:pStyle w:val="Heading1"/>
      </w:pPr>
      <w:r>
        <w:t>Microsoft Strategy</w:t>
      </w:r>
    </w:p>
    <w:p>
      <w:r>
        <w:t>DRE aligns with the Microsoft ecosystem through Azure-native product architecture, customer-owned Azure deployment, Microsoft for Startups progression, future Marketplace readiness, and later co-sell potential. The strategy depends on genuine product and customer progress rather than program status alone.</w:t>
      </w:r>
    </w:p>
    <w:p>
      <w:pPr>
        <w:pStyle w:val="Heading1"/>
      </w:pPr>
      <w:r>
        <w:t>Commercial Model</w:t>
      </w:r>
    </w:p>
    <w:p>
      <w:r>
        <w:t>The near-term commercial path begins with free evaluation, early access, and design-partner engagement. The working hypothesis for initial serious design-partner work is a $10,000 engagement, subject to validation through actual customer conversations. The long-term opportunity is a recurring enterprise software relationship around continuing billing review and customer-owned Azure deployment.</w:t>
      </w:r>
    </w:p>
    <w:p>
      <w:pPr>
        <w:pStyle w:val="Heading1"/>
      </w:pPr>
      <w:r>
        <w:t>Roadmap</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PHASE</w:t>
            </w:r>
          </w:p>
        </w:tc>
        <w:tc>
          <w:tcPr>
            <w:tcW w:type="dxa" w:w="4939"/>
            <w:vAlign w:val="center"/>
            <w:tcMar>
              <w:top w:w="120" w:type="dxa"/>
              <w:start w:w="120" w:type="dxa"/>
              <w:bottom w:w="120" w:type="dxa"/>
              <w:end w:w="120" w:type="dxa"/>
            </w:tcMar>
            <w:shd w:fill="16324F"/>
          </w:tcPr>
          <w:p>
            <w:pPr>
              <w:spacing w:after="0"/>
              <w:jc w:val="left"/>
            </w:pPr>
            <w:r/>
            <w:r>
              <w:rPr>
                <w:rFonts w:ascii="Aptos" w:hAnsi="Aptos"/>
                <w:b/>
                <w:color w:val="FFFFFF"/>
                <w:sz w:val="16"/>
              </w:rPr>
              <w:t>PRIMARY EVIDENCE</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1. Demonstrable DRE</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Working synthetic-data demonstration</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2. Live Validation &amp; Customer Evidence</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Usage, feedback, waitlist, and design-partner evidence</w:t>
            </w:r>
          </w:p>
        </w:tc>
      </w:tr>
      <w:tr>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3. Product / Documentation Completion</w:t>
            </w:r>
          </w:p>
        </w:tc>
        <w:tc>
          <w:tcPr>
            <w:tcW w:type="dxa" w:w="4939"/>
            <w:vAlign w:val="center"/>
            <w:tcMar>
              <w:top w:w="120" w:type="dxa"/>
              <w:start w:w="120" w:type="dxa"/>
              <w:bottom w:w="120" w:type="dxa"/>
              <w:end w:w="120" w:type="dxa"/>
            </w:tcMar>
            <w:shd w:fill="FFFFFF"/>
          </w:tcPr>
          <w:p>
            <w:pPr>
              <w:spacing w:after="0"/>
              <w:jc w:val="left"/>
            </w:pPr>
            <w:r/>
            <w:r>
              <w:rPr>
                <w:rFonts w:ascii="Aptos" w:hAnsi="Aptos"/>
                <w:b w:val="0"/>
                <w:color w:val="24313C"/>
                <w:sz w:val="17"/>
              </w:rPr>
              <w:t>Aligned product, architecture, customer experience, and documentation</w:t>
            </w:r>
          </w:p>
        </w:tc>
      </w:tr>
      <w:tr>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4. Enterprise Hardening &amp; Commercial Deployment</w:t>
            </w:r>
          </w:p>
        </w:tc>
        <w:tc>
          <w:tcPr>
            <w:tcW w:type="dxa" w:w="4939"/>
            <w:vAlign w:val="center"/>
            <w:tcMar>
              <w:top w:w="120" w:type="dxa"/>
              <w:start w:w="120" w:type="dxa"/>
              <w:bottom w:w="120" w:type="dxa"/>
              <w:end w:w="120" w:type="dxa"/>
            </w:tcMar>
            <w:shd w:fill="F4F7F9"/>
          </w:tcPr>
          <w:p>
            <w:pPr>
              <w:spacing w:after="0"/>
              <w:jc w:val="left"/>
            </w:pPr>
            <w:r/>
            <w:r>
              <w:rPr>
                <w:rFonts w:ascii="Aptos" w:hAnsi="Aptos"/>
                <w:b w:val="0"/>
                <w:color w:val="24313C"/>
                <w:sz w:val="17"/>
              </w:rPr>
              <w:t>Validated customer-owned Azure deployment and commercial operation</w:t>
            </w:r>
          </w:p>
        </w:tc>
      </w:tr>
    </w:tbl>
    <w:p/>
    <w:p>
      <w:pPr>
        <w:pStyle w:val="Heading1"/>
      </w:pPr>
      <w:r>
        <w:t>Founder and Company</w:t>
      </w:r>
    </w:p>
    <w:p>
      <w:r>
        <w:t>Engineered Launch is building DRE around a process-engineering philosophy: standardize repeatable work, isolate exceptions, preserve human judgment where it adds value, and reduce unnecessary operational motion. Jamie Lynn Schallert’s operating background supports that product discipline.</w:t>
      </w:r>
    </w:p>
    <w:p>
      <w:pPr>
        <w:pStyle w:val="Heading1"/>
      </w:pPr>
      <w:r>
        <w:t>Evidence Discipline</w:t>
      </w:r>
    </w:p>
    <w:p>
      <w:pPr>
        <w:pStyle w:val="ListBullet"/>
        <w:spacing w:after="60"/>
        <w:ind w:left="360" w:hanging="230"/>
      </w:pPr>
      <w:r>
        <w:t>Current implementation is represented as current implementation.</w:t>
      </w:r>
    </w:p>
    <w:p>
      <w:pPr>
        <w:pStyle w:val="ListBullet"/>
        <w:spacing w:after="60"/>
        <w:ind w:left="360" w:hanging="230"/>
      </w:pPr>
      <w:r>
        <w:t>Intended architecture is represented as intended architecture.</w:t>
      </w:r>
    </w:p>
    <w:p>
      <w:pPr>
        <w:pStyle w:val="ListBullet"/>
        <w:spacing w:after="60"/>
        <w:ind w:left="360" w:hanging="230"/>
      </w:pPr>
      <w:r>
        <w:t>Demo users are not presented as customers.</w:t>
      </w:r>
    </w:p>
    <w:p>
      <w:pPr>
        <w:pStyle w:val="ListBullet"/>
        <w:spacing w:after="60"/>
        <w:ind w:left="360" w:hanging="230"/>
      </w:pPr>
      <w:r>
        <w:t>Design partners are not presented as revenue.</w:t>
      </w:r>
    </w:p>
    <w:p>
      <w:pPr>
        <w:pStyle w:val="ListBullet"/>
        <w:spacing w:after="60"/>
        <w:ind w:left="360" w:hanging="230"/>
      </w:pPr>
      <w:r>
        <w:t>Calculated differences are not presented as realized savings.</w:t>
      </w:r>
    </w:p>
    <w:p>
      <w:pPr>
        <w:pStyle w:val="ListBullet"/>
        <w:spacing w:after="60"/>
        <w:ind w:left="360" w:hanging="230"/>
      </w:pPr>
      <w:r>
        <w:t>Marketplace and co-sell are future milestones until achieved.</w:t>
      </w:r>
    </w:p>
    <w:p>
      <w:pPr>
        <w:pStyle w:val="Heading1"/>
      </w:pPr>
      <w:r>
        <w:t>Investment Opportunity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COMPANY TRANSITION</w:t>
              <w:br/>
            </w:r>
            <w:r>
              <w:t>DRE is moving from architecture and internal capability toward external proof, customer evidence, repeatable deployment, and commercial operation.</w:t>
            </w:r>
          </w:p>
        </w:tc>
      </w:tr>
    </w:tbl>
    <w:p/>
    <w:p>
      <w:r>
        <w:t>The next milestone is not a larger concept. It is observable interaction with a working product, followed by disciplined product learning and enterprise hardening.</w:t>
      </w:r>
    </w:p>
    <w:sectPr w:rsidR="00FC693F" w:rsidRPr="0006063C" w:rsidSect="00034616">
      <w:headerReference w:type="default" r:id="rId9"/>
      <w:footerReference w:type="default" r:id="rId10"/>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color w:val="2E7D7A"/>
        <w:sz w:val="16"/>
      </w:rPr>
      <w:t>ENGINEERED LAUNCH  •  DRE / DR. E</w:t>
    </w:r>
  </w:p>
  <w:p>
    <w:pPr>
      <w:jc w:val="right"/>
    </w:pPr>
    <w:r>
      <w:fldChar w:fldCharType="begin"/>
      <w:instrText>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2E7D7A"/>
        <w:sz w:val="17"/>
      </w:rPr>
      <w:t>DRE  |  ENGINEERED LAUNCH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431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Aptos Display" w:hAnsi="Aptos Display"/>
      <w:b/>
      <w:bCs/>
      <w:color w:val="16324F"/>
      <w:sz w:val="38"/>
      <w:szCs w:val="28"/>
    </w:rPr>
  </w:style>
  <w:style w:type="paragraph" w:styleId="Heading2">
    <w:name w:val="heading 2"/>
    <w:basedOn w:val="Normal"/>
    <w:next w:val="Normal"/>
    <w:link w:val="Heading2Char"/>
    <w:uiPriority w:val="9"/>
    <w:unhideWhenUsed/>
    <w:qFormat/>
    <w:rsid w:val="00FC693F"/>
    <w:pPr>
      <w:keepNext/>
      <w:keepLines/>
      <w:spacing w:before="300" w:after="120"/>
      <w:outlineLvl w:val="1"/>
    </w:pPr>
    <w:rPr>
      <w:rFonts w:asciiTheme="majorHAnsi" w:eastAsiaTheme="majorEastAsia" w:hAnsiTheme="majorHAnsi" w:cstheme="majorBidi" w:ascii="Aptos Display" w:hAnsi="Aptos Display"/>
      <w:b/>
      <w:bCs/>
      <w:color w:val="1F5F8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300"/>
      <w:contextualSpacing/>
    </w:pPr>
    <w:rPr>
      <w:rFonts w:asciiTheme="majorHAnsi" w:eastAsiaTheme="majorEastAsia" w:hAnsiTheme="majorHAnsi" w:cstheme="majorBidi" w:ascii="Aptos Display" w:hAnsi="Aptos Display"/>
      <w:b/>
      <w:color w:val="16324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rPr>
      <w:rFonts w:ascii="Aptos" w:hAnsi="Aptos"/>
      <w:b/>
      <w:color w:val="16324F"/>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DRE Investor Memorandum</dc:title>
  <dc:subject>DRE Investor Memorandum</dc:subject>
  <dc:creator>Jamie Schallert</dc:creator>
  <keywords/>
  <dc:description>generated by python-docx</dc:description>
  <lastModifiedBy>Jamie Schallert</lastModifiedBy>
  <revision>1</revision>
  <dcterms:created xsi:type="dcterms:W3CDTF">2026-09-14T01:29:45.2365852Z</dcterms:created>
  <dcterms:modified xsi:type="dcterms:W3CDTF">2026-09-14T01:29:45.2365852Z</dcterms:modified>
  <category/>
</coreProperties>
</file>